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8F2E4"/>
  <w:body>
    <w:p>
      <w:pPr>
        <w:pStyle w:val="Title"/>
        <w:keepNext/>
        <w:keepLines/>
        <w:widowControl/>
        <w:spacing w:before="0" w:after="68" w:line="500" w:lineRule="exact"/>
        <w:ind w:left="0" w:right="0" w:firstLine="0"/>
        <w:jc w:val="center"/>
      </w:pPr>
      <w:r>
        <w:rPr>
          <w:rFonts w:ascii="Georgia" w:hAnsi="Georgia" w:eastAsia="Georgia" w:cs="Georgia"/>
          <w:b/>
          <w:i w:val="0"/>
          <w:color w:val="000000"/>
          <w:sz w:val="40"/>
        </w:rPr>
        <w:t>Агентский договор</w:t>
      </w:r>
    </w:p>
    <w:p>
      <w:pPr>
        <w:pStyle w:val="Subtitle"/>
        <w:keepNext/>
        <w:keepLines/>
        <w:widowControl/>
        <w:spacing w:before="0" w:after="70" w:line="300" w:lineRule="exact"/>
        <w:ind w:left="0" w:right="0" w:firstLine="0"/>
        <w:jc w:val="center"/>
      </w:pPr>
      <w:r>
        <w:rPr>
          <w:rFonts w:ascii="Times New Roman" w:hAnsi="Times New Roman" w:eastAsia="Times New Roman" w:cs="Times New Roman"/>
          <w:b w:val="0"/>
          <w:i/>
          <w:color w:val="000000"/>
          <w:sz w:val="23"/>
        </w:rPr>
        <w:t>по привлечению заемщиков через платформу AMITUT</w:t>
      </w:r>
    </w:p>
    <w:p>
      <w:pPr>
        <w:keepNext w:val="0"/>
        <w:keepLines/>
        <w:widowControl/>
        <w:spacing w:after="506" w:before="0" w:line="240" w:lineRule="exact"/>
        <w:ind w:left="0" w:right="0" w:firstLine="0"/>
        <w:jc w:val="center"/>
      </w:pPr>
      <w:r>
        <w:rPr>
          <w:rFonts w:ascii="Times New Roman" w:hAnsi="Times New Roman" w:eastAsia="Times New Roman" w:cs="Times New Roman"/>
          <w:b w:val="0"/>
          <w:i w:val="0"/>
          <w:color w:val="000000"/>
          <w:sz w:val="18"/>
        </w:rPr>
        <w:t>№ __________  ·  г. Ростов-на-Дону  ·  «___» __________ 2026 г.</w:t>
      </w:r>
    </w:p>
    <w:p>
      <w:pPr>
        <w:keepNext w:val="0"/>
        <w:keepLines/>
        <w:widowControl/>
        <w:spacing w:before="0" w:after="80" w:line="263" w:lineRule="exact"/>
        <w:ind w:left="0" w:right="0" w:firstLine="0"/>
        <w:jc w:val="both"/>
      </w:pPr>
      <w:r>
        <w:rPr>
          <w:rFonts w:ascii="Times New Roman" w:hAnsi="Times New Roman" w:eastAsia="Times New Roman" w:cs="Times New Roman"/>
          <w:color w:val="383A39"/>
          <w:sz w:val="18"/>
        </w:rPr>
        <w:t>Индивидуальный предприниматель Короглуев Филипп Алексеевич, ОГРНИП 326619600084636, ИНН 616710986293, осуществляющий деятельность под обозначением AMITUT, именуемый «Агент», с одной стороны, и [полное фирменное наименование ломбарда], ОГРН [__________], ИНН [__________], включенное в государственный реестр ломбардов, в лице [должность, Ф. И. О.], действующего на основании [__________], именуемое «Принципал» или «Ломбард», с другой стороны, совместно именуемые «Стороны», заключили настоящий Договор о нижеследующем.</w:t>
      </w:r>
    </w:p>
    <w:p>
      <w:pPr>
        <w:pStyle w:val="Heading1"/>
        <w:keepNext/>
        <w:keepLines/>
        <w:widowControl/>
        <w:spacing w:before="40" w:after="130" w:line="330" w:lineRule="exact"/>
        <w:ind w:left="0" w:right="0" w:firstLine="0"/>
        <w:jc w:val="left"/>
      </w:pPr>
      <w:r>
        <w:rPr>
          <w:rFonts w:ascii="Times New Roman" w:hAnsi="Times New Roman" w:eastAsia="Times New Roman" w:cs="Times New Roman"/>
          <w:b/>
          <w:i w:val="0"/>
          <w:color w:val="000000"/>
          <w:sz w:val="25"/>
        </w:rPr>
        <w:t>1. Предмет договора и роль платформы</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1.1. </w:t>
      </w:r>
      <w:r>
        <w:rPr>
          <w:rFonts w:ascii="Times New Roman" w:hAnsi="Times New Roman" w:eastAsia="Times New Roman" w:cs="Times New Roman"/>
          <w:color w:val="383A39"/>
          <w:sz w:val="18"/>
        </w:rPr>
        <w:t>Агент по поручению Принципала и за вознаграждение совершает от своего имени, но за счет Принципала фактические действия по размещению и продвижению объявлений об услугах Ломбарда, поиску потенциальных заемщиков, приему запросов на подбор предложений и направлению заинтересованных лиц Принципалу. Принципал оплачивает эти действия в порядке, предусмотренном Договором.</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1.2. </w:t>
      </w:r>
      <w:r>
        <w:rPr>
          <w:rFonts w:ascii="Times New Roman" w:hAnsi="Times New Roman" w:eastAsia="Times New Roman" w:cs="Times New Roman"/>
          <w:color w:val="383A39"/>
          <w:sz w:val="18"/>
        </w:rPr>
        <w:t>Для исполнения поручения Агент использует информационный сервис AMITUT на сайте amitut.ru, личные кабинеты, систему учета заявок и согласованные каналы связи. AMITUT — коммерческое обозначение сервиса Агента, а не отдельная сторона Договора. Услуги включают размещение карточки Ломбарда, подбор заявок по территории и виду залога, передачу предложений клиенту и организационное сопровождение менеджером.</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1.3. </w:t>
      </w:r>
      <w:r>
        <w:rPr>
          <w:rFonts w:ascii="Times New Roman" w:hAnsi="Times New Roman" w:eastAsia="Times New Roman" w:cs="Times New Roman"/>
          <w:color w:val="383A39"/>
          <w:sz w:val="18"/>
        </w:rPr>
        <w:t>Клиент направляет один запрос на подбор условий займа, получает предложения подходящих ломбардов и самостоятельно выбирает предложение. Запрос в AMITUT, предварительное предложение Ломбарда и выбор клиента сами по себе не являются договором займа и не обязывают клиента получать заем.</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1.4. </w:t>
      </w:r>
      <w:r>
        <w:rPr>
          <w:rFonts w:ascii="Times New Roman" w:hAnsi="Times New Roman" w:eastAsia="Times New Roman" w:cs="Times New Roman"/>
          <w:color w:val="383A39"/>
          <w:sz w:val="18"/>
        </w:rPr>
        <w:t>Агент не выдает займы, не принимает деньги или имущество заемщиков, не оценивает и не хранит залог, не проводит идентификацию за Ломбард, не определяет условия займа и не принимает решение о его выдаче. Договор займа и залоговый билет оформляются непосредственно между Ломбардом и заемщиком. Представительство при заключении таких договоров Агенту не поручается.</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1.5. </w:t>
      </w:r>
      <w:r>
        <w:rPr>
          <w:rFonts w:ascii="Times New Roman" w:hAnsi="Times New Roman" w:eastAsia="Times New Roman" w:cs="Times New Roman"/>
          <w:color w:val="383A39"/>
          <w:sz w:val="18"/>
        </w:rPr>
        <w:t>Договор охватывает только деятельность ломбарда по предоставлению гражданам займов под залог передаваемых ему движимых вещей. Он не распространяется на выдачу микрозаймов МФО, банковские продукты и займы с оставлением предмета залога в пользовании заемщика. Прием таких продуктов требует отдельного договора с надлежащим кредитором.</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1.6. </w:t>
      </w:r>
      <w:r>
        <w:rPr>
          <w:rFonts w:ascii="Times New Roman" w:hAnsi="Times New Roman" w:eastAsia="Times New Roman" w:cs="Times New Roman"/>
          <w:color w:val="383A39"/>
          <w:sz w:val="18"/>
        </w:rPr>
        <w:t>Сотрудничество не является исключительным. Агент вправе направлять запрос нескольким подходящим ломбардам; Принципал вправе привлекать клиентов иными способами. Агент не гарантирует число заявок, выбор Принципала клиентом, выдачу займа или доходность сотрудничества.</w:t>
      </w:r>
    </w:p>
    <w:p>
      <w:pPr>
        <w:pStyle w:val="Heading1"/>
        <w:keepNext/>
        <w:keepLines/>
        <w:widowControl/>
        <w:spacing w:before="40" w:after="130" w:line="330" w:lineRule="exact"/>
        <w:ind w:left="0" w:right="0" w:firstLine="0"/>
        <w:jc w:val="left"/>
      </w:pPr>
      <w:r>
        <w:rPr>
          <w:rFonts w:ascii="Times New Roman" w:hAnsi="Times New Roman" w:eastAsia="Times New Roman" w:cs="Times New Roman"/>
          <w:b/>
          <w:i w:val="0"/>
          <w:color w:val="000000"/>
          <w:sz w:val="25"/>
        </w:rPr>
        <w:t>2. Подключение Ломбарда и работа с заявкой</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2.1. </w:t>
      </w:r>
      <w:r>
        <w:rPr>
          <w:rFonts w:ascii="Times New Roman" w:hAnsi="Times New Roman" w:eastAsia="Times New Roman" w:cs="Times New Roman"/>
          <w:color w:val="383A39"/>
          <w:sz w:val="18"/>
        </w:rPr>
        <w:t>До начала работы Принципал передает Агенту сведения о юридическом лице, реестровом статусе, представителе, филиалах, видах принимаемого залога, условиях услуг и фактических территориях обслуживания. Подключение производится после проверки сведений, модерации карточки и заключения Договора. Подача формы на сайте сама по себе не подтверждает подключение или оплату подписки.</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2.2. </w:t>
      </w:r>
      <w:r>
        <w:rPr>
          <w:rFonts w:ascii="Times New Roman" w:hAnsi="Times New Roman" w:eastAsia="Times New Roman" w:cs="Times New Roman"/>
          <w:color w:val="383A39"/>
          <w:sz w:val="18"/>
        </w:rPr>
        <w:t>Одна карточка Ломбарда относится к одному юридическому лицу, одному ИНН и направлению «Ломбарды». Филиалы и территории указываются внутри карточки. Изменение сотрудника, аккаунта или филиала того же юридического лица не создает нового партнера. Изменение ИНН производится через поддержку после проверки; другое юридическое лицо заключает отдельный договор.</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2.3. </w:t>
      </w:r>
      <w:r>
        <w:rPr>
          <w:rFonts w:ascii="Times New Roman" w:hAnsi="Times New Roman" w:eastAsia="Times New Roman" w:cs="Times New Roman"/>
          <w:color w:val="383A39"/>
          <w:sz w:val="18"/>
        </w:rPr>
        <w:t>Территория показа карточки и оплаченная территория получения уведомлений учитываются раздельно. Расширение показа само по себе не дает оплаченного приоритета и ставки 3%. Для целей подписки регионом признается субъект Российской Федерации; города и филиалы уточняют место обслуживания внутри него. Согласованные территории и тариф фиксируются в Приложении № 1.</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2.4. </w:t>
      </w:r>
      <w:r>
        <w:rPr>
          <w:rFonts w:ascii="Times New Roman" w:hAnsi="Times New Roman" w:eastAsia="Times New Roman" w:cs="Times New Roman"/>
          <w:color w:val="383A39"/>
          <w:sz w:val="18"/>
        </w:rPr>
        <w:t>Первично Принципалу предоставляются идентификатор заявки, вид и описание залога, желаемая сумма, населенный пункт, фотографии и комментарий в объеме, необходимом для предварительного предложения. Имя, телефон и электронная почта клиента в первичную рассылку не включаются. Из фотографий и комментариев до передачи удаляются очевидные избыточные идентифицирующие сведения.</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2.5. </w:t>
      </w:r>
      <w:r>
        <w:rPr>
          <w:rFonts w:ascii="Times New Roman" w:hAnsi="Times New Roman" w:eastAsia="Times New Roman" w:cs="Times New Roman"/>
          <w:color w:val="383A39"/>
          <w:sz w:val="18"/>
        </w:rPr>
        <w:t>Подходящие заявки сначала предоставляются активным партнерам с действующей оплаченной подпиской по нужной территории и виду залога. При отсутствии выбранного клиентом предложения Агент вправе направить заявку другим подходящим активным партнерам. Приоритет не означает исключительности заявки или обязанности клиента выбрать платного партнера. Конкретное время повторного направления определяет Агент с учетом срока актуальности запроса.</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2.6. </w:t>
      </w:r>
      <w:r>
        <w:rPr>
          <w:rFonts w:ascii="Times New Roman" w:hAnsi="Times New Roman" w:eastAsia="Times New Roman" w:cs="Times New Roman"/>
          <w:color w:val="383A39"/>
          <w:sz w:val="18"/>
        </w:rPr>
        <w:t>Принципал передает предварительное предложение через доступный личный кабинет либо согласованный канал: сумму, процентную ставку с указанием периода ее исчисления, срок займа, филиал, срок действия предложения и существенные условия. MAX используется при подключении соответствующей интеграции. При недоступности автоматического канала допускается подтверждаемая передача через менеджера; повторная отправка одного предложения не создает нового предложения или заявки.</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2.7. </w:t>
      </w:r>
      <w:r>
        <w:rPr>
          <w:rFonts w:ascii="Times New Roman" w:hAnsi="Times New Roman" w:eastAsia="Times New Roman" w:cs="Times New Roman"/>
          <w:color w:val="383A39"/>
          <w:sz w:val="18"/>
        </w:rPr>
        <w:t>После выбора предложения менеджер AMITUT организует связь с выбранным Ломбардом и согласование посещения. Передача контактов выбранному Ломбарду допускается только на этом этапе, в необходимом объеме и при наличии надлежащего законного основания. Автоматическое открытие контактов всем получателям заявки не допускается.</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2.8. </w:t>
      </w:r>
      <w:r>
        <w:rPr>
          <w:rFonts w:ascii="Times New Roman" w:hAnsi="Times New Roman" w:eastAsia="Times New Roman" w:cs="Times New Roman"/>
          <w:color w:val="383A39"/>
          <w:sz w:val="18"/>
        </w:rPr>
        <w:t>Ломбард самостоятельно осматривает залог, проверяет сведения и принимает решение о выдаче. Предложенную для заявки процентную ставку нельзя повышать. Уменьшение предварительной суммы допускается при документированном существенном расхождении состояния или характеристик имущества с заявкой; причину Ломбард до оформления объясняет клиенту и менеджеру AMITUT. Допустим мотивированный отказ при законных препятствиях к выдаче; отказ не должен использоваться для навязывания повышенной ставки.</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2.9. </w:t>
      </w:r>
      <w:r>
        <w:rPr>
          <w:rFonts w:ascii="Times New Roman" w:hAnsi="Times New Roman" w:eastAsia="Times New Roman" w:cs="Times New Roman"/>
          <w:color w:val="383A39"/>
          <w:sz w:val="18"/>
        </w:rPr>
        <w:t>Принципал сообщает менеджеру результат обращения: посещение, выдачу с суммой и датой либо отказ с причиной в допустимом законом объеме. О выдаче, просрочке заемщика и прекращении обязательств он уведомляет Агента не позднее 3 рабочих дней после соответствующего события. Агент вправе запрашивать статус и разбирать обращения о качестве сервиса, не вмешиваясь в решение о выдаче займа.</w:t>
      </w:r>
    </w:p>
    <w:p>
      <w:pPr>
        <w:pStyle w:val="Heading1"/>
        <w:keepNext/>
        <w:keepLines/>
        <w:widowControl/>
        <w:spacing w:before="40" w:after="130" w:line="330" w:lineRule="exact"/>
        <w:ind w:left="0" w:right="0" w:firstLine="0"/>
        <w:jc w:val="left"/>
      </w:pPr>
      <w:r>
        <w:rPr>
          <w:rFonts w:ascii="Times New Roman" w:hAnsi="Times New Roman" w:eastAsia="Times New Roman" w:cs="Times New Roman"/>
          <w:b/>
          <w:i w:val="0"/>
          <w:color w:val="000000"/>
          <w:sz w:val="25"/>
        </w:rPr>
        <w:t>3. Подтверждение привлечения и фиксация ставки</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3.1. </w:t>
      </w:r>
      <w:r>
        <w:rPr>
          <w:rFonts w:ascii="Times New Roman" w:hAnsi="Times New Roman" w:eastAsia="Times New Roman" w:cs="Times New Roman"/>
          <w:color w:val="383A39"/>
          <w:sz w:val="18"/>
        </w:rPr>
        <w:t>Основанием отнесения заемщика к привлеченным Агентом служит документированная передача Принципалу заявки AMITUT, по которой впоследствии выдан заем. До раскрытия контактов учет ведется по постоянному идентификатору заявки; после выдачи Принципал связывает его с номером договора займа или залогового билета. Отсутствие контактов на первом этапе не лишает Агента права подтвердить привлечение.</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3.2. </w:t>
      </w:r>
      <w:r>
        <w:rPr>
          <w:rFonts w:ascii="Times New Roman" w:hAnsi="Times New Roman" w:eastAsia="Times New Roman" w:cs="Times New Roman"/>
          <w:color w:val="383A39"/>
          <w:sz w:val="18"/>
        </w:rPr>
        <w:t>Если Принципал заявляет о более раннем самостоятельном обращении клиента по тому же запросу на заем, он направляет возражение и подтверждение в течение 3 рабочих дней после получения достаточных для сопоставления сведений. Само наличие человека в клиентской базе или ранее закрытый заем не доказывают самостоятельное привлечение по новой заявке. При отсутствии своевременного обоснованного возражения заявка считается закрепленной за Агентом, если иное не подтверждено при сверке или разрешении спора.</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3.3. </w:t>
      </w:r>
      <w:r>
        <w:rPr>
          <w:rFonts w:ascii="Times New Roman" w:hAnsi="Times New Roman" w:eastAsia="Times New Roman" w:cs="Times New Roman"/>
          <w:color w:val="383A39"/>
          <w:sz w:val="18"/>
        </w:rPr>
        <w:t>Ставка вознаграждения фиксируется в момент первой подтвержденной передачи конкретной заявки конкретному Принципалу. Передачей считается предоставление доступа к заявке в личном кабинете либо подтвержденная доставка согласованным альтернативным каналом. Постановка во внутреннюю очередь, прочтение сообщения, ответ, выбор клиента и дата выдачи не заменяют этот момент.</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3.4. </w:t>
      </w:r>
      <w:r>
        <w:rPr>
          <w:rFonts w:ascii="Times New Roman" w:hAnsi="Times New Roman" w:eastAsia="Times New Roman" w:cs="Times New Roman"/>
          <w:color w:val="383A39"/>
          <w:sz w:val="18"/>
        </w:rPr>
        <w:t>При действующей оплаченной подписке на территорию заявки в момент первой передачи применяются 3% при выдаче и 3% для последующего вознаграждения. При отсутствии такой подписки, ее окончании или отсутствии нужной территории применяются 6% и 6%. Территория определяется по указанному в заявке региону фактического обслуживания; адрес регистрации Ломбарда ее не подменяет.</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3.5. </w:t>
      </w:r>
      <w:r>
        <w:rPr>
          <w:rFonts w:ascii="Times New Roman" w:hAnsi="Times New Roman" w:eastAsia="Times New Roman" w:cs="Times New Roman"/>
          <w:color w:val="383A39"/>
          <w:sz w:val="18"/>
        </w:rPr>
        <w:t>Оплата, досрочная повторная оплата, окончание или изменение подписки после первой передачи не меняют зафиксированные ставки по этой заявке и соответствующему займу. Повторная доставка, технический дубль, смена внутреннего номера, сотрудника или филиала одного юридического лица не позволяют заново определить ставку. Ошибки исправляются с сохранением исходной записи и документированного основания.</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3.6. </w:t>
      </w:r>
      <w:r>
        <w:rPr>
          <w:rFonts w:ascii="Times New Roman" w:hAnsi="Times New Roman" w:eastAsia="Times New Roman" w:cs="Times New Roman"/>
          <w:color w:val="383A39"/>
          <w:sz w:val="18"/>
        </w:rPr>
        <w:t>Агент сохраняет идентификатор заявки, получателя, территорию, канал, время первой передачи, связанные дубли, статус подписки и примененную ставку. Принципал сохраняет связь с выданным займом и поступлениями. Сведения системы, переписка, подтверждения доставки и банковские документы являются доказательствами, которые оцениваются в совокупности и могут быть оспорены.</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3.7. </w:t>
      </w:r>
      <w:r>
        <w:rPr>
          <w:rFonts w:ascii="Times New Roman" w:hAnsi="Times New Roman" w:eastAsia="Times New Roman" w:cs="Times New Roman"/>
          <w:color w:val="383A39"/>
          <w:sz w:val="18"/>
        </w:rPr>
        <w:t>Новый самостоятельный заем после полного прекращения предыдущего оплачивается Агенту при повторном направлении клиента либо отдельном письменном соглашении с указанием ставки. Продление, реструктуризация или техническое переоформление незакрытого займа самостоятельным новым привлечением не считаются.</w:t>
      </w:r>
    </w:p>
    <w:p>
      <w:pPr>
        <w:pStyle w:val="Heading1"/>
        <w:keepNext/>
        <w:keepLines/>
        <w:widowControl/>
        <w:spacing w:before="40" w:after="130" w:line="330" w:lineRule="exact"/>
        <w:ind w:left="0" w:right="0" w:firstLine="0"/>
        <w:jc w:val="left"/>
      </w:pPr>
      <w:r>
        <w:rPr>
          <w:rFonts w:ascii="Times New Roman" w:hAnsi="Times New Roman" w:eastAsia="Times New Roman" w:cs="Times New Roman"/>
          <w:b/>
          <w:i w:val="0"/>
          <w:color w:val="000000"/>
          <w:sz w:val="25"/>
        </w:rPr>
        <w:t>4. Размер вознаграждения и расчетная база</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4.1. </w:t>
      </w:r>
      <w:r>
        <w:rPr>
          <w:rFonts w:ascii="Times New Roman" w:hAnsi="Times New Roman" w:eastAsia="Times New Roman" w:cs="Times New Roman"/>
          <w:color w:val="383A39"/>
          <w:sz w:val="18"/>
        </w:rPr>
        <w:t>Единовременное вознаграждение составляет 6% либо 3% по правилам раздела 3 от денежных средств, фактически выданных привлеченному заемщику. Оно возникает при выдаче займа и не зависит от его последующего досрочного погашения, просрочки или невозврата. При отказе в выдаче или отсутствии фактического перечисления заемщику такое вознаграждение не начисляется.</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4.2. </w:t>
      </w:r>
      <w:r>
        <w:rPr>
          <w:rFonts w:ascii="Times New Roman" w:hAnsi="Times New Roman" w:eastAsia="Times New Roman" w:cs="Times New Roman"/>
          <w:color w:val="383A39"/>
          <w:sz w:val="18"/>
        </w:rPr>
        <w:t>Дополнительное вознаграждение рассчитывается ежемесячно по той же зафиксированной ставке от фактически полученного законного дохода Ломбарда по соответствующему займу. Основной состав этой базы — полученные проценты за пользование займом. Возврат основного долга повторно в базу не включается.</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4.3. </w:t>
      </w:r>
      <w:r>
        <w:rPr>
          <w:rFonts w:ascii="Times New Roman" w:hAnsi="Times New Roman" w:eastAsia="Times New Roman" w:cs="Times New Roman"/>
          <w:color w:val="383A39"/>
          <w:sz w:val="18"/>
        </w:rPr>
        <w:t>Упоминание в учете комиссий, пеней, штрафов и иных доходных платежей не дает Ломбарду права требовать их от заемщика. Такие суммы входят в базу только при наличии прямо допускающего их взыскание основания в императивном законодательстве, применимом именно к ломбардам, и их фактическом законном получении. Требования к заемщику ограничиваются, в частности, статьей 8 Федерального закона № 196-ФЗ «О ломбардах»; незаконно полученные суммы в базу не включаются.</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4.4. </w:t>
      </w:r>
      <w:r>
        <w:rPr>
          <w:rFonts w:ascii="Times New Roman" w:hAnsi="Times New Roman" w:eastAsia="Times New Roman" w:cs="Times New Roman"/>
          <w:color w:val="383A39"/>
          <w:sz w:val="18"/>
        </w:rPr>
        <w:t>В каждом поступлении раздельно отражаются основной долг, проценты и иные законные доходные платежи с их основанием. Не учитываются начисленные, но не полученные суммы, отмененные и прощенные платежи, ошибочные поступления, возвращенные клиенту суммы, страховые выплаты, возмещение расходов и выручка от реализации предмета залога. Настоящий Договор не изменяет очередность погашения обязательств заемщика и не устанавливает для него новых платежей.</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4.5. </w:t>
      </w:r>
      <w:r>
        <w:rPr>
          <w:rFonts w:ascii="Times New Roman" w:hAnsi="Times New Roman" w:eastAsia="Times New Roman" w:cs="Times New Roman"/>
          <w:color w:val="383A39"/>
          <w:sz w:val="18"/>
        </w:rPr>
        <w:t>Законный доходный платеж, внесенный третьим лицом за заемщика и полученный Принципалом, учитывается на общих основаниях. Если полученный платеж впоследствии возвращен, база соответствующего периода корректируется по подтверждающим документам; излишне уплаченное вознаграждение засчитывается при ближайшем расчете, а при отсутствии предстоящих платежей возвращается в течение 10 рабочих дней после сверки.</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4.6. </w:t>
      </w:r>
      <w:r>
        <w:rPr>
          <w:rFonts w:ascii="Times New Roman" w:hAnsi="Times New Roman" w:eastAsia="Times New Roman" w:cs="Times New Roman"/>
          <w:color w:val="383A39"/>
          <w:sz w:val="18"/>
        </w:rPr>
        <w:t>При продлении, изменении или переоформлении того же займа единовременная комиссия повторно на прежний долг не начисляется. На дополнительно фактически выданные заемщику денежные средства она начисляется один раз по ранее зафиксированной ставке. Капитализация процентов и перенос остатка долга без новой выдачи не увеличивают базу единовременной комиссии.</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4.7. </w:t>
      </w:r>
      <w:r>
        <w:rPr>
          <w:rFonts w:ascii="Times New Roman" w:hAnsi="Times New Roman" w:eastAsia="Times New Roman" w:cs="Times New Roman"/>
          <w:color w:val="383A39"/>
          <w:sz w:val="18"/>
        </w:rPr>
        <w:t>Ежемесячное вознаграждение выплачивается до полного прекращения обязательств по соответствующему займу, включая продление и реструктуризацию. Месяц без фактического доходного поступления не создает вознаграждения за этот месяц, но не прекращает право на долю последующих поступлений. Закрытие займа подтверждается датой и основанием; бухгалтерское списание само по себе не означает прекращения обязательства.</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4.8. </w:t>
      </w:r>
      <w:r>
        <w:rPr>
          <w:rFonts w:ascii="Times New Roman" w:hAnsi="Times New Roman" w:eastAsia="Times New Roman" w:cs="Times New Roman"/>
          <w:color w:val="383A39"/>
          <w:sz w:val="18"/>
        </w:rPr>
        <w:t>Вознаграждение и подписка оплачиваются Принципалом из собственных средств. Их нельзя удерживать из причитающейся заемщику суммы или оформлять отдельным обязательным платежом заемщика в пользу Агента. Обычные расходы Агента включены в вознаграждение; отдельный рекламный бюджет возмещается только после письменного согласования суммы и подтверждения расходов.</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4.9. </w:t>
      </w:r>
      <w:r>
        <w:rPr>
          <w:rFonts w:ascii="Times New Roman" w:hAnsi="Times New Roman" w:eastAsia="Times New Roman" w:cs="Times New Roman"/>
          <w:color w:val="383A39"/>
          <w:sz w:val="18"/>
        </w:rPr>
        <w:t>Все суммы выражены в рублях. Вознаграждение рассчитывается по каждой операции с округлением до копеек и суммируется за период. Ставки и цена подписки включают применимый НДС, если у Агента возникает обязанность его предъявлять; при освобождении НДС не выделяется. Налоговый статус и основание указываются в расчетных документах. Изменение режима само по себе не увеличивает согласованную цену.</w:t>
      </w:r>
    </w:p>
    <w:p>
      <w:pPr>
        <w:pStyle w:val="Heading1"/>
        <w:keepNext/>
        <w:keepLines/>
        <w:widowControl/>
        <w:spacing w:before="40" w:after="130" w:line="330" w:lineRule="exact"/>
        <w:ind w:left="0" w:right="0" w:firstLine="0"/>
        <w:jc w:val="left"/>
      </w:pPr>
      <w:r>
        <w:rPr>
          <w:rFonts w:ascii="Times New Roman" w:hAnsi="Times New Roman" w:eastAsia="Times New Roman" w:cs="Times New Roman"/>
          <w:b/>
          <w:i w:val="0"/>
          <w:color w:val="000000"/>
          <w:sz w:val="25"/>
        </w:rPr>
        <w:t>5. Подписка и территории</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5.1. </w:t>
      </w:r>
      <w:r>
        <w:rPr>
          <w:rFonts w:ascii="Times New Roman" w:hAnsi="Times New Roman" w:eastAsia="Times New Roman" w:cs="Times New Roman"/>
          <w:color w:val="383A39"/>
          <w:sz w:val="18"/>
        </w:rPr>
        <w:t>Платное размещение включает доступ к размещению согласованной карточки, уведомлениям и приоритетной передаче подходящих заявок по выбранным территориям. До оплаты Стороны согласуют в Приложении № 1 или отдельном подписанном заказе территорию, состав услуги и цену. Подписание Договора не означает приобретения подписки; без оплаченного периода действует модель без абонентской платы с комиссией 6% / 6%.</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5.2. </w:t>
      </w:r>
      <w:r>
        <w:rPr>
          <w:rFonts w:ascii="Times New Roman" w:hAnsi="Times New Roman" w:eastAsia="Times New Roman" w:cs="Times New Roman"/>
          <w:color w:val="383A39"/>
          <w:sz w:val="18"/>
        </w:rPr>
        <w:t>Каждая полная оплата предоставляет подписку на 30 суток (720 часов). Оплаченный период начинается после фактического запуска контекстной рекламы направления Принципала в регионе его бизнеса, при наличии подтвержденной оплаты. Территория, дата и время начала фиксируются в Приложении № 1 или подписанном заказе. Начало включается в период, момент окончания не включается; время учитывается до секунды или точнее и отображается по Москве, UTC+3.</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5.3. </w:t>
      </w:r>
      <w:r>
        <w:rPr>
          <w:rFonts w:ascii="Times New Roman" w:hAnsi="Times New Roman" w:eastAsia="Times New Roman" w:cs="Times New Roman"/>
          <w:color w:val="383A39"/>
          <w:sz w:val="18"/>
        </w:rPr>
        <w:t>Запуск рекламы планируется после подключения минимум 20 бизнесов одного направления в одном регионе; другие направления и регионы в этот минимум не входят. Агент уведомляет Принципала о дате и времени запуска минимум за 24 часа по согласованному каналу. Оплата, размещение карточки и достижение порога сами по себе не запускают отсчет. При переносе Агент сообщает новую дату; до фактического запуска оплаченные дни не расходуются. Порог не гарантирует заявки.</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5.4. </w:t>
      </w:r>
      <w:r>
        <w:rPr>
          <w:rFonts w:ascii="Times New Roman" w:hAnsi="Times New Roman" w:eastAsia="Times New Roman" w:cs="Times New Roman"/>
          <w:color w:val="383A39"/>
          <w:sz w:val="18"/>
        </w:rPr>
        <w:t>При повторной оплате после выполнения условий запуска по пунктам 5.2–5.3 новый период начинается с нового успешного платежа и длится 720 часов. До выполнения этих условий отсчет не идет. Новый период не прибавляется к окончанию предыдущего; пересекающееся время не суммируется. Агент сообщает это правило перед досрочной оплатой. Повторное уведомление об одной операции не создает новый период. Автоматическое списание Договором не разрешается.</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5.5. </w:t>
      </w:r>
      <w:r>
        <w:rPr>
          <w:rFonts w:ascii="Times New Roman" w:hAnsi="Times New Roman" w:eastAsia="Times New Roman" w:cs="Times New Roman"/>
          <w:color w:val="383A39"/>
          <w:sz w:val="18"/>
        </w:rPr>
        <w:t>Оплату подтверждает банк по времени поступления средств либо платежный провайдер по времени успешной оплаты Агенту. Задержка уведомления не меняет это время. Счет, резервирование средств, обещание платежа, неподтвержденное поручение, недостаточная или неуспешная оплата не создают оплаченный период. Перекрывающиеся периоды действуют в объединении интервалов в пределах их территорий. Платеж, территории и границы периода отражаются в кабинете либо выгрузке Принципалу.</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5.6. </w:t>
      </w:r>
      <w:r>
        <w:rPr>
          <w:rFonts w:ascii="Times New Roman" w:hAnsi="Times New Roman" w:eastAsia="Times New Roman" w:cs="Times New Roman"/>
          <w:color w:val="383A39"/>
          <w:sz w:val="18"/>
        </w:rPr>
        <w:t>Окончание подписки прекращает платный приоритет по новым заявкам. Доступное размещение без абонплаты может сохраняться после модерации; ранее зафиксированные ставки не изменяются. Изменение цен распространяется только на будущие заказы после их согласования и не меняет уже оплаченный период.</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5.7. </w:t>
      </w:r>
      <w:r>
        <w:rPr>
          <w:rFonts w:ascii="Times New Roman" w:hAnsi="Times New Roman" w:eastAsia="Times New Roman" w:cs="Times New Roman"/>
          <w:color w:val="383A39"/>
          <w:sz w:val="18"/>
        </w:rPr>
        <w:t>Прекращение услуги по соглашению Сторон и возврат платы оформляются с указанием момента прекращения и затронутых территорий. Если Агент не предоставлял оплаченную услугу по причинам на своей стороне, Принципал вправе потребовать соразмерного уменьшения платы за подтвержденное время непредоставления. Возврат за оставшийся период сам по себе не повышает комиссию по ранее переданным заявкам. Иные права Сторон определяются Договором и законом.</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5.8. </w:t>
      </w:r>
      <w:r>
        <w:rPr>
          <w:rFonts w:ascii="Times New Roman" w:hAnsi="Times New Roman" w:eastAsia="Times New Roman" w:cs="Times New Roman"/>
          <w:color w:val="383A39"/>
          <w:sz w:val="18"/>
        </w:rPr>
        <w:t>Заявленная возможность показа по России не подтверждает наличие действующих партнеров, интеграций или потока заявок в каждом регионе. Территории платного обслуживания определяются фактической готовностью сервиса и Приложением № 1. Предполагаемая дата запуска или рекламная презентация не заменяют согласования оплачиваемой услуги.</w:t>
      </w:r>
    </w:p>
    <w:p>
      <w:pPr>
        <w:pStyle w:val="Heading1"/>
        <w:keepNext/>
        <w:keepLines/>
        <w:widowControl/>
        <w:spacing w:before="40" w:after="130" w:line="330" w:lineRule="exact"/>
        <w:ind w:left="0" w:right="0" w:firstLine="0"/>
        <w:jc w:val="left"/>
      </w:pPr>
      <w:r>
        <w:rPr>
          <w:rFonts w:ascii="Times New Roman" w:hAnsi="Times New Roman" w:eastAsia="Times New Roman" w:cs="Times New Roman"/>
          <w:b/>
          <w:i w:val="0"/>
          <w:color w:val="000000"/>
          <w:sz w:val="25"/>
        </w:rPr>
        <w:t>6. Отчетность и сроки оплаты</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6.1. </w:t>
      </w:r>
      <w:r>
        <w:rPr>
          <w:rFonts w:ascii="Times New Roman" w:hAnsi="Times New Roman" w:eastAsia="Times New Roman" w:cs="Times New Roman"/>
          <w:color w:val="383A39"/>
          <w:sz w:val="18"/>
        </w:rPr>
        <w:t>Единовременное вознаграждение уплачивается не позднее 3 рабочих дней со дня фактической выдачи займа. Принципал рассчитывает его по собственным сведениям и зафиксированной ставке; отсутствие счета или отдельного акта не переносит срок оплаты.</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6.2. </w:t>
      </w:r>
      <w:r>
        <w:rPr>
          <w:rFonts w:ascii="Times New Roman" w:hAnsi="Times New Roman" w:eastAsia="Times New Roman" w:cs="Times New Roman"/>
          <w:color w:val="383A39"/>
          <w:sz w:val="18"/>
        </w:rPr>
        <w:t>Не позднее 2-го рабочего дня месяца Принципал направляет реестр за предыдущий календарный месяц: идентификаторы заявок и займов, даты и суммы выдач, примененные ставки, поступления с разбивкой на основной долг и доходную часть, возвраты, прекращение обязательств и перечисленное Агенту вознаграждение. При отсутствии событий направляется нулевой реестр.</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6.3. </w:t>
      </w:r>
      <w:r>
        <w:rPr>
          <w:rFonts w:ascii="Times New Roman" w:hAnsi="Times New Roman" w:eastAsia="Times New Roman" w:cs="Times New Roman"/>
          <w:color w:val="383A39"/>
          <w:sz w:val="18"/>
        </w:rPr>
        <w:t>Ежемесячное вознаграждение перечисляется не позднее 3-го рабочего дня месяца, следующего за месяцем получения соответствующего дохода. Срок не зависит от подписания отчета Агента или своевременности реестра Принципала. Оспаривание отдельных позиций не приостанавливает оплату бесспорной части.</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6.4. </w:t>
      </w:r>
      <w:r>
        <w:rPr>
          <w:rFonts w:ascii="Times New Roman" w:hAnsi="Times New Roman" w:eastAsia="Times New Roman" w:cs="Times New Roman"/>
          <w:color w:val="383A39"/>
          <w:sz w:val="18"/>
        </w:rPr>
        <w:t>Агент не позднее 5-го рабочего дня месяца направляет отчет об исполнении поручения и расчет по форме Приложения № 2. Принципал в течение 5 рабочих дней после его получения направляет конкретные мотивированные возражения с расчетом и доказательствами; иначе отчет считается принятым. Реестр Принципала не заменяет отчет Агента. Позднее согласованные корректировки учитываются отдельно.</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6.5. </w:t>
      </w:r>
      <w:r>
        <w:rPr>
          <w:rFonts w:ascii="Times New Roman" w:hAnsi="Times New Roman" w:eastAsia="Times New Roman" w:cs="Times New Roman"/>
          <w:color w:val="383A39"/>
          <w:sz w:val="18"/>
        </w:rPr>
        <w:t>По запросу любой Стороны сверка проводится в течение 5 рабочих дней. Принципал предоставляет необходимые выписки и подтверждения в минимальном законно допустимом объеме по разделу 8. Если его реестр задержан, Агент составляет отчет по имеющимся данным и уточняет его после получения документов; задержка не погашает долг Принципала.</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6.6. </w:t>
      </w:r>
      <w:r>
        <w:rPr>
          <w:rFonts w:ascii="Times New Roman" w:hAnsi="Times New Roman" w:eastAsia="Times New Roman" w:cs="Times New Roman"/>
          <w:color w:val="383A39"/>
          <w:sz w:val="18"/>
        </w:rPr>
        <w:t>Денежное обязательство считается исполненным при зачислении средств на расчетный счет Агента. В назначении указываются Договор, вид платежа и период. Комиссию своего банка несет плательщик. Повторно оплачивать уже перечисленное единовременное вознаграждение при включении его в месячный отчет не требуется.</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6.7. </w:t>
      </w:r>
      <w:r>
        <w:rPr>
          <w:rFonts w:ascii="Times New Roman" w:hAnsi="Times New Roman" w:eastAsia="Times New Roman" w:cs="Times New Roman"/>
          <w:color w:val="383A39"/>
          <w:sz w:val="18"/>
        </w:rPr>
        <w:t>Рабочими днями признаются дни по пятидневной рабочей неделе, не являющиеся выходными и нерабочими праздничными днями в Российской Федерации. Течение срока, установленного в днях после события, начинается на следующий день. Срок подписки определяется часами по разделу 5 и на рабочие дни не переносится.</w:t>
      </w:r>
    </w:p>
    <w:p>
      <w:pPr>
        <w:pStyle w:val="Heading1"/>
        <w:keepNext/>
        <w:keepLines/>
        <w:widowControl/>
        <w:spacing w:before="40" w:after="130" w:line="330" w:lineRule="exact"/>
        <w:ind w:left="0" w:right="0" w:firstLine="0"/>
        <w:jc w:val="left"/>
      </w:pPr>
      <w:r>
        <w:rPr>
          <w:rFonts w:ascii="Times New Roman" w:hAnsi="Times New Roman" w:eastAsia="Times New Roman" w:cs="Times New Roman"/>
          <w:b/>
          <w:i w:val="0"/>
          <w:color w:val="000000"/>
          <w:sz w:val="25"/>
        </w:rPr>
        <w:t>7. Обязанности сторон и рекламные материалы</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7.1. </w:t>
      </w:r>
      <w:r>
        <w:rPr>
          <w:rFonts w:ascii="Times New Roman" w:hAnsi="Times New Roman" w:eastAsia="Times New Roman" w:cs="Times New Roman"/>
          <w:color w:val="383A39"/>
          <w:sz w:val="18"/>
        </w:rPr>
        <w:t>Агент добросовестно выполняет поручение, обеспечивает учет и подтверждаемую передачу заявок, сообщает об известных сбоях, рассматривает обращения и исправляет ошибки. Он вправе привлекать работников и подрядчиков, сохраняя ответственность перед Принципалом и обеспечивая законное предоставление доступа к данным. Передоверие заключения займов и прием платежей заемщиков не допускаются.</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7.2. </w:t>
      </w:r>
      <w:r>
        <w:rPr>
          <w:rFonts w:ascii="Times New Roman" w:hAnsi="Times New Roman" w:eastAsia="Times New Roman" w:cs="Times New Roman"/>
          <w:color w:val="383A39"/>
          <w:sz w:val="18"/>
        </w:rPr>
        <w:t>Принципал поддерживает актуальность карточки, реестрового статуса, условий, филиалов и ответственных сотрудников. Об изменении условий он сообщает до их использования в новых предложениях, а об ограничении права выдавать займы или исключении из реестра — незамедлительно, не позднее следующего рабочего дня. На время такого ограничения Агент прекращает передачу новых заявок и рекламу соответствующих услуг.</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7.3. </w:t>
      </w:r>
      <w:r>
        <w:rPr>
          <w:rFonts w:ascii="Times New Roman" w:hAnsi="Times New Roman" w:eastAsia="Times New Roman" w:cs="Times New Roman"/>
          <w:color w:val="383A39"/>
          <w:sz w:val="18"/>
        </w:rPr>
        <w:t>Принципал предоставляет права на использование своего наименования, логотипа, фотографий и согласованных материалов для исполнения Договора и гарантирует правомерность их передачи. Размещение не означает передачу Агенту исключительных прав. После прекращения сотрудничества рекламное использование прекращается, кроме необходимого хранения доказательств исполнения и законной архивной информации.</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7.4. </w:t>
      </w:r>
      <w:r>
        <w:rPr>
          <w:rFonts w:ascii="Times New Roman" w:hAnsi="Times New Roman" w:eastAsia="Times New Roman" w:cs="Times New Roman"/>
          <w:color w:val="383A39"/>
          <w:sz w:val="18"/>
        </w:rPr>
        <w:t>Рекламные материалы и изменения условий согласуются письменно до размещения. Принципал отвечает за достоверность предоставленных сведений, Агент — за соответствие размещения согласованному материалу и свои обязанности рекламораспространителя. Согласование не отменяет установленную законом ответственность каждой Стороны.</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7.5. </w:t>
      </w:r>
      <w:r>
        <w:rPr>
          <w:rFonts w:ascii="Times New Roman" w:hAnsi="Times New Roman" w:eastAsia="Times New Roman" w:cs="Times New Roman"/>
          <w:color w:val="383A39"/>
          <w:sz w:val="18"/>
        </w:rPr>
        <w:t>Реклама должна содержать наименование фактического кредитора и обязательные сведения и предупреждения по статье 28 Федерального закона № 38-ФЗ «О рекламе». При указании ставки или условий, влияющих на полную стоимость займа, Принципал передает сведения для надлежащего раскрытия этих условий. Интернет-реклама при применимости требований маркируется и учитывается через оператора рекламных данных; Агент организует это при своем размещении, Принципал своевременно предоставляет необходимые данные.</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7.6. </w:t>
      </w:r>
      <w:r>
        <w:rPr>
          <w:rFonts w:ascii="Times New Roman" w:hAnsi="Times New Roman" w:eastAsia="Times New Roman" w:cs="Times New Roman"/>
          <w:color w:val="383A39"/>
          <w:sz w:val="18"/>
        </w:rPr>
        <w:t>Расходы на обязательные рекламные отчисления несет лицо, на которое такая обязанность возложена законом; их дополнительное возмещение другой Стороной возможно только по письменному соглашению. Рекламные сообщения по сетям электросвязи направляются лишь при наличии требуемого предварительного согласия адресата. Публичность контактных данных организации сама по себе не считается согласием на рассылку.</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7.7. </w:t>
      </w:r>
      <w:r>
        <w:rPr>
          <w:rFonts w:ascii="Times New Roman" w:hAnsi="Times New Roman" w:eastAsia="Times New Roman" w:cs="Times New Roman"/>
          <w:color w:val="383A39"/>
          <w:sz w:val="18"/>
        </w:rPr>
        <w:t>Принципал не вправе скрывать выдачу, поступления или связь займа с заявкой, искусственно менять способ учета, выводить сделку на аффилированное лицо или переоформлять ее с целью обхода вознаграждения. Такой факт устанавливается по доказательствам. Настоящее условие не возлагает обязательства по оплате на третье лицо, не заключившее Договор.</w:t>
      </w:r>
    </w:p>
    <w:p>
      <w:pPr>
        <w:pStyle w:val="Heading1"/>
        <w:keepNext/>
        <w:keepLines/>
        <w:widowControl/>
        <w:spacing w:before="40" w:after="130" w:line="330" w:lineRule="exact"/>
        <w:ind w:left="0" w:right="0" w:firstLine="0"/>
        <w:jc w:val="left"/>
      </w:pPr>
      <w:r>
        <w:rPr>
          <w:rFonts w:ascii="Times New Roman" w:hAnsi="Times New Roman" w:eastAsia="Times New Roman" w:cs="Times New Roman"/>
          <w:b/>
          <w:i w:val="0"/>
          <w:color w:val="000000"/>
          <w:sz w:val="25"/>
        </w:rPr>
        <w:t>8. Персональные данные и профессиональная тайна</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8.1. </w:t>
      </w:r>
      <w:r>
        <w:rPr>
          <w:rFonts w:ascii="Times New Roman" w:hAnsi="Times New Roman" w:eastAsia="Times New Roman" w:cs="Times New Roman"/>
          <w:color w:val="383A39"/>
          <w:sz w:val="18"/>
        </w:rPr>
        <w:t>Каждая Сторона соблюдает законодательство о персональных данных в своей деятельности. Договор между Сторонами не заменяет согласия заемщика и не является самостоятельным разрешением раскрывать профессиональную тайну Ломбарда. До передачи сведений передающая Сторона устанавливает и документирует надлежащее правовое основание.</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8.2. </w:t>
      </w:r>
      <w:r>
        <w:rPr>
          <w:rFonts w:ascii="Times New Roman" w:hAnsi="Times New Roman" w:eastAsia="Times New Roman" w:cs="Times New Roman"/>
          <w:color w:val="383A39"/>
          <w:sz w:val="18"/>
        </w:rPr>
        <w:t>Согласие на обработку персональных данных, когда оно необходимо, оформляется отдельно от иных подтверждаемых документов и охватывает цель, состав данных, действия и получателя. Клиентские контакты передаются только выбранному Ломбарду в порядке пункта 2.7. Принципал не использует их для несогласованной рекламы или передачи другим организациям.</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8.3. </w:t>
      </w:r>
      <w:r>
        <w:rPr>
          <w:rFonts w:ascii="Times New Roman" w:hAnsi="Times New Roman" w:eastAsia="Times New Roman" w:cs="Times New Roman"/>
          <w:color w:val="383A39"/>
          <w:sz w:val="18"/>
        </w:rPr>
        <w:t>Сведения о выдачах и платежах предоставляются по идентификаторам, без паспортных копий и лишних данных. Если идентификатор позволяет Агенту определить клиента, Стороны не считают такие сведения автоматически обезличенными: применяются требования о персональных данных и профессиональной тайне. При отсутствии основания для раскрытия используются допустимые агрегированные сведения и иной согласованный законный способ сверки; это не отменяет обязанность рассчитаться за реально оказанную услугу.</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8.4. </w:t>
      </w:r>
      <w:r>
        <w:rPr>
          <w:rFonts w:ascii="Times New Roman" w:hAnsi="Times New Roman" w:eastAsia="Times New Roman" w:cs="Times New Roman"/>
          <w:color w:val="383A39"/>
          <w:sz w:val="18"/>
        </w:rPr>
        <w:t>Каждая Сторона ограничивает доступ уполномоченными лицами, защищает учетные записи, использует согласованные каналы, соблюдает сроки хранения, локализацию и иные применимые требования. При поручении обработки другой Стороне или подрядчику заранее оформляется отдельное поручение с обязательными условиями. О выявленной утечке, затрагивающей другую Сторону, она уведомляется без неоправданной задержки; обязательные уведомления органов выполняет ответственный оператор.</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8.5. </w:t>
      </w:r>
      <w:r>
        <w:rPr>
          <w:rFonts w:ascii="Times New Roman" w:hAnsi="Times New Roman" w:eastAsia="Times New Roman" w:cs="Times New Roman"/>
          <w:color w:val="383A39"/>
          <w:sz w:val="18"/>
        </w:rPr>
        <w:t>Непубличные расчеты, документы, сведения о клиентах и настройках учета конфиденциальны. Раскрытие допускается с надлежащим основанием для исполнения Договора, защиты права либо по законному требованию. После прекращения Договора данные хранятся только в пределах необходимых целей и обязательных сроков, затем удаляются или действительно обезличиваются. Обязанность охранять тайну сохраняется после прекращения сотрудничества.</w:t>
      </w:r>
    </w:p>
    <w:p>
      <w:pPr>
        <w:pStyle w:val="Heading1"/>
        <w:keepNext/>
        <w:keepLines/>
        <w:widowControl/>
        <w:spacing w:before="40" w:after="130" w:line="330" w:lineRule="exact"/>
        <w:ind w:left="0" w:right="0" w:firstLine="0"/>
        <w:jc w:val="left"/>
      </w:pPr>
      <w:r>
        <w:rPr>
          <w:rFonts w:ascii="Times New Roman" w:hAnsi="Times New Roman" w:eastAsia="Times New Roman" w:cs="Times New Roman"/>
          <w:b/>
          <w:i w:val="0"/>
          <w:color w:val="000000"/>
          <w:sz w:val="25"/>
        </w:rPr>
        <w:t>9. Ответственность</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9.1. </w:t>
      </w:r>
      <w:r>
        <w:rPr>
          <w:rFonts w:ascii="Times New Roman" w:hAnsi="Times New Roman" w:eastAsia="Times New Roman" w:cs="Times New Roman"/>
          <w:color w:val="383A39"/>
          <w:sz w:val="18"/>
        </w:rPr>
        <w:t>За просрочку выплаты агентского вознаграждения Принципал по требованию Агента уплачивает пеню в размере 1% от непогашенной просроченной суммы за каждый календарный день, начиная со дня, следующего за установленным сроком оплаты, по день фактической оплаты включительно. Пеня на пеню и на штрафы не начисляется.</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9.2. </w:t>
      </w:r>
      <w:r>
        <w:rPr>
          <w:rFonts w:ascii="Times New Roman" w:hAnsi="Times New Roman" w:eastAsia="Times New Roman" w:cs="Times New Roman"/>
          <w:color w:val="383A39"/>
          <w:sz w:val="18"/>
        </w:rPr>
        <w:t>За непредоставление месячного реестра с просрочкой более 10 рабочих дней Принципал по письменному требованию уплачивает штраф 10 000 рублей за каждый отчетный месяц, по которому допущено нарушение. Штраф начисляется однократно за соответствующий месяц и не заменяет обязанность предоставить реестр.</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9.3. </w:t>
      </w:r>
      <w:r>
        <w:rPr>
          <w:rFonts w:ascii="Times New Roman" w:hAnsi="Times New Roman" w:eastAsia="Times New Roman" w:cs="Times New Roman"/>
          <w:color w:val="383A39"/>
          <w:sz w:val="18"/>
        </w:rPr>
        <w:t>При доказанном сокрытии выдачи или поступления с целью избежать вознаграждения Принципал выплачивает задолженность, пеню по пункту 9.1 и штраф 50% от суммы вознаграждения, не уплаченного вследствие сокрытия. Само по себе добросовестное расхождение в расчете или своевременно исправленная техническая ошибка не доказывает сокрытия. Агент направляет подтверждения и дает Принципалу 5 рабочих дней для объяснений.</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9.4. </w:t>
      </w:r>
      <w:r>
        <w:rPr>
          <w:rFonts w:ascii="Times New Roman" w:hAnsi="Times New Roman" w:eastAsia="Times New Roman" w:cs="Times New Roman"/>
          <w:color w:val="383A39"/>
          <w:sz w:val="18"/>
        </w:rPr>
        <w:t>Штрафы и пеня уплачиваются в течение 5 рабочих дней после получения требования с расчетом. Их уплата не прекращает основной долг. Убытки возмещаются в части, не покрытой неустойкой. За ту же просрочку проценты по статье 395 ГК РФ сверх договорной пени не начисляются, если иное не установлено императивным законом.</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9.5. </w:t>
      </w:r>
      <w:r>
        <w:rPr>
          <w:rFonts w:ascii="Times New Roman" w:hAnsi="Times New Roman" w:eastAsia="Times New Roman" w:cs="Times New Roman"/>
          <w:color w:val="383A39"/>
          <w:sz w:val="18"/>
        </w:rPr>
        <w:t>За введение клиента в заблуждение, в том числе повышение предложенной ставки, Агент вправе приостановить новые направления, запросить объяснения и при подтверждении нарушения отказаться от Договора. Публичное сообщение о нарушении допускается только при наличии достоверных подтвержденных фактов и законного основания, с соблюдением правил о деловой репутации, данных и тайне. Договор не разрешает публиковать неподтвержденные обвинения или сведения о долге заемщика.</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9.6. </w:t>
      </w:r>
      <w:r>
        <w:rPr>
          <w:rFonts w:ascii="Times New Roman" w:hAnsi="Times New Roman" w:eastAsia="Times New Roman" w:cs="Times New Roman"/>
          <w:color w:val="383A39"/>
          <w:sz w:val="18"/>
        </w:rPr>
        <w:t>Агент не отвечает за платежеспособность заемщика, возврат займа и решения Принципала. Каждая Сторона отвечает за свои нарушения по Договору и закону. Освобождение в связи с непреодолимой силой допускается при доказанной причинной связи; отсутствие денег и обычные сбои контрагентов сами по себе не освобождают от оплаты.</w:t>
      </w:r>
    </w:p>
    <w:p>
      <w:pPr>
        <w:pStyle w:val="Heading1"/>
        <w:keepNext/>
        <w:keepLines/>
        <w:widowControl/>
        <w:spacing w:before="40" w:after="130" w:line="330" w:lineRule="exact"/>
        <w:ind w:left="0" w:right="0" w:firstLine="0"/>
        <w:jc w:val="left"/>
      </w:pPr>
      <w:r>
        <w:rPr>
          <w:rFonts w:ascii="Times New Roman" w:hAnsi="Times New Roman" w:eastAsia="Times New Roman" w:cs="Times New Roman"/>
          <w:b/>
          <w:i w:val="0"/>
          <w:color w:val="000000"/>
          <w:sz w:val="25"/>
        </w:rPr>
        <w:t>10. Срок действия и прекращение</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10.1. </w:t>
      </w:r>
      <w:r>
        <w:rPr>
          <w:rFonts w:ascii="Times New Roman" w:hAnsi="Times New Roman" w:eastAsia="Times New Roman" w:cs="Times New Roman"/>
          <w:color w:val="383A39"/>
          <w:sz w:val="18"/>
        </w:rPr>
        <w:t>Договор вступает в силу после подписания Сторонами и заключается на неопределенный срок. Любая Сторона вправе отказаться от него, уведомив другую не менее чем за 30 календарных дней. Немедленный отказ допускается в предусмотренных законом и Договором случаях.</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10.2. </w:t>
      </w:r>
      <w:r>
        <w:rPr>
          <w:rFonts w:ascii="Times New Roman" w:hAnsi="Times New Roman" w:eastAsia="Times New Roman" w:cs="Times New Roman"/>
          <w:color w:val="383A39"/>
          <w:sz w:val="18"/>
        </w:rPr>
        <w:t>Агент вправе приостановить передачу новых заявок при просроченной оплате, непредоставлении реестра, утрате реестрового статуса или обоснованных признаках незаконного использования данных. Он уведомляет Принципала о причине и необходимых действиях. Обоснованная приостановка не меняет ставки и расчеты по уже привлеченным заемщикам.</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10.3. </w:t>
      </w:r>
      <w:r>
        <w:rPr>
          <w:rFonts w:ascii="Times New Roman" w:hAnsi="Times New Roman" w:eastAsia="Times New Roman" w:cs="Times New Roman"/>
          <w:color w:val="383A39"/>
          <w:sz w:val="18"/>
        </w:rPr>
        <w:t>Прекращение Договора или подписки не прекращает единовременное и ежемесячное вознаграждение по займам, выданным до прекращения Договора. Обязанности по поступлениям сохраняются по ранее зафиксированной ставке до полного прекращения соответствующего займа, включая его продления и реструктуризации. Новый самостоятельный заем учитывается по пункту 3.7.</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10.4. </w:t>
      </w:r>
      <w:r>
        <w:rPr>
          <w:rFonts w:ascii="Times New Roman" w:hAnsi="Times New Roman" w:eastAsia="Times New Roman" w:cs="Times New Roman"/>
          <w:color w:val="383A39"/>
          <w:sz w:val="18"/>
        </w:rPr>
        <w:t>По заявкам, переданным до прекращения Договора и еще находящимся в работе, Стороны составляют завершающий реестр. Если заем выдан по такой заявке в течение 90 календарных дней после прекращения Договора, он оплачивается по ранее зафиксированной ставке. Этот срок не ограничивает выплаты по уже выданному займу и не распространяет комиссию на любые будущие отношения с клиентом.</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10.5. </w:t>
      </w:r>
      <w:r>
        <w:rPr>
          <w:rFonts w:ascii="Times New Roman" w:hAnsi="Times New Roman" w:eastAsia="Times New Roman" w:cs="Times New Roman"/>
          <w:color w:val="383A39"/>
          <w:sz w:val="18"/>
        </w:rPr>
        <w:t>До завершения всех расчетов Принципал продолжает предоставлять реестры, Агент — отчеты, а Стороны проводят сверки. Прекращение Договора не освобождает от накопленного долга, ответственности, соблюдения конфиденциальности и обязательных правил обработки данных.</w:t>
      </w:r>
    </w:p>
    <w:p>
      <w:pPr>
        <w:pStyle w:val="Heading1"/>
        <w:keepNext/>
        <w:keepLines/>
        <w:widowControl/>
        <w:spacing w:before="40" w:after="130" w:line="330" w:lineRule="exact"/>
        <w:ind w:left="0" w:right="0" w:firstLine="0"/>
        <w:jc w:val="left"/>
      </w:pPr>
      <w:r>
        <w:rPr>
          <w:rFonts w:ascii="Times New Roman" w:hAnsi="Times New Roman" w:eastAsia="Times New Roman" w:cs="Times New Roman"/>
          <w:b/>
          <w:i w:val="0"/>
          <w:color w:val="000000"/>
          <w:sz w:val="25"/>
        </w:rPr>
        <w:t>11. Документы, уведомления и споры</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11.1. </w:t>
      </w:r>
      <w:r>
        <w:rPr>
          <w:rFonts w:ascii="Times New Roman" w:hAnsi="Times New Roman" w:eastAsia="Times New Roman" w:cs="Times New Roman"/>
          <w:color w:val="383A39"/>
          <w:sz w:val="18"/>
        </w:rPr>
        <w:t>Договор и приложения подписываются на бумаге либо усиленными квалифицированными электронными подписями. Электронное заключение через сайт допускается только при отдельном согласовании механизма, позволяющего установить юридическое лицо, полномочия представителя, полный текст и версию условий, подписавшее лицо и момент подписания. Одна техническая отметка без такого согласования не заменяет подписание настоящего Договора.</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11.2. </w:t>
      </w:r>
      <w:r>
        <w:rPr>
          <w:rFonts w:ascii="Times New Roman" w:hAnsi="Times New Roman" w:eastAsia="Times New Roman" w:cs="Times New Roman"/>
          <w:color w:val="383A39"/>
          <w:sz w:val="18"/>
        </w:rPr>
        <w:t>Для текущих заявок, отчетов, возражений, уведомлений и претензий используются адреса из раздела 12, согласованные кабинеты и каналы из Приложения № 1. Стороны обеспечивают исключительный контроль доступа своих уполномоченных лиц; сообщения из этих каналов признаются исходящими от соответствующей Стороны, если не доказано иное. О компрометации доступа сообщается незамедлительно.</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11.3. </w:t>
      </w:r>
      <w:r>
        <w:rPr>
          <w:rFonts w:ascii="Times New Roman" w:hAnsi="Times New Roman" w:eastAsia="Times New Roman" w:cs="Times New Roman"/>
          <w:color w:val="383A39"/>
          <w:sz w:val="18"/>
        </w:rPr>
        <w:t>Получение подтверждается ответом, данными доставки либо предоставлением доступа к документу в согласованном кабинете с уведомлением адресата. Юридические последствия доставки и уклонения от получения определяются статьей 165.1 ГК РФ. При подтвержденной недоставке отправитель использует другой согласованный способ; одного внутреннего статуса «отправлено» недостаточно.</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11.4. </w:t>
      </w:r>
      <w:r>
        <w:rPr>
          <w:rFonts w:ascii="Times New Roman" w:hAnsi="Times New Roman" w:eastAsia="Times New Roman" w:cs="Times New Roman"/>
          <w:color w:val="383A39"/>
          <w:sz w:val="18"/>
        </w:rPr>
        <w:t>Изменения тарифов, расчетной базы и иных условий Договора действуют после письменного согласования Сторон. Обновление сайта, презентации или правил интерфейса не меняет ранее согласованный договор. При расхождении рекламного описания с подписанным Договором в отношениях Сторон применяются условия Договора.</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11.5. </w:t>
      </w:r>
      <w:r>
        <w:rPr>
          <w:rFonts w:ascii="Times New Roman" w:hAnsi="Times New Roman" w:eastAsia="Times New Roman" w:cs="Times New Roman"/>
          <w:color w:val="383A39"/>
          <w:sz w:val="18"/>
        </w:rPr>
        <w:t>До обращения в суд Сторона направляет письменную претензию с существом требования и документами. Срок ответа и досудебного урегулирования — 10 рабочих дней после получения. Затем спор передается в компетентный арбитражный суд по установленным законом правилам подсудности. Применяется право Российской Федерации.</w:t>
      </w:r>
    </w:p>
    <w:p>
      <w:pPr>
        <w:keepNext w:val="0"/>
        <w:keepLines/>
        <w:widowControl/>
        <w:spacing w:before="0" w:after="220" w:line="263" w:lineRule="exact"/>
        <w:ind w:left="0" w:right="0" w:firstLine="0"/>
        <w:jc w:val="both"/>
      </w:pPr>
      <w:r>
        <w:rPr>
          <w:rFonts w:ascii="Times New Roman" w:hAnsi="Times New Roman" w:eastAsia="Times New Roman" w:cs="Times New Roman"/>
          <w:b/>
          <w:color w:val="383A39"/>
          <w:sz w:val="18"/>
        </w:rPr>
        <w:t xml:space="preserve">11.6. </w:t>
      </w:r>
      <w:r>
        <w:rPr>
          <w:rFonts w:ascii="Times New Roman" w:hAnsi="Times New Roman" w:eastAsia="Times New Roman" w:cs="Times New Roman"/>
          <w:color w:val="383A39"/>
          <w:sz w:val="18"/>
        </w:rPr>
        <w:t>Об изменении реквизитов Сторона уведомляет в течение 5 рабочих дней. Недействительность отдельного условия не влечет недействительность остальных. Договор составлен в двух экземплярах либо в электронном виде. Приложения № 1 и № 2 являются его неотъемлемыми частями. При заключении взамен прежнего договора судьба ранее переданных заявок определяется отдельной сверкой; новые условия не применяются к ним задним числом без письменного соглашения.</w:t>
      </w:r>
    </w:p>
    <w:p>
      <w:pPr>
        <w:pStyle w:val="Heading1"/>
        <w:keepNext/>
        <w:keepLines/>
        <w:widowControl/>
        <w:spacing w:before="40" w:after="130" w:line="330" w:lineRule="exact"/>
        <w:ind w:left="0" w:right="0" w:firstLine="0"/>
        <w:jc w:val="left"/>
      </w:pPr>
      <w:r>
        <w:rPr>
          <w:rFonts w:ascii="Times New Roman" w:hAnsi="Times New Roman" w:eastAsia="Times New Roman" w:cs="Times New Roman"/>
          <w:b/>
          <w:i w:val="0"/>
          <w:color w:val="000000"/>
          <w:sz w:val="25"/>
        </w:rPr>
        <w:t>12. Реквизиты и подписи сторон</w:t>
      </w:r>
    </w:p>
    <w:tbl>
      <w:tblPr>
        <w:tblW w:type="auto" w:w="0"/>
        <w:tblLayout w:type="fixed"/>
        <w:tblLook w:firstColumn="1" w:firstRow="1" w:lastColumn="0" w:lastRow="0" w:noHBand="0" w:noVBand="1" w:val="04A0"/>
        <w:jc w:val="center"/>
        <w:tblBorders>
          <w:top w:val="nil"/>
          <w:left w:val="nil"/>
          <w:bottom w:val="nil"/>
          <w:right w:val="nil"/>
          <w:insideH w:val="nil"/>
          <w:insideV w:val="nil"/>
        </w:tblBorders>
      </w:tblPr>
      <w:tblGrid>
        <w:gridCol w:w="5173"/>
        <w:gridCol w:w="5173"/>
      </w:tblGrid>
      <w:tr>
        <w:trPr>
          <w:cantSplit/>
        </w:trPr>
        <w:tc>
          <w:tcPr>
            <w:tcW w:type="dxa" w:w="5173"/>
            <w:vAlign w:val="center"/>
          </w:tcPr>
          <w:p>
            <w:pPr>
              <w:keepLines/>
              <w:spacing w:after="80" w:line="240" w:lineRule="exact" w:before="0"/>
              <w:jc w:val="left"/>
            </w:pPr>
            <w:r>
              <w:rPr>
                <w:rFonts w:ascii="Times New Roman" w:hAnsi="Times New Roman" w:eastAsia="Times New Roman" w:cs="Times New Roman"/>
                <w:b/>
                <w:color w:val="383A39"/>
                <w:sz w:val="18"/>
              </w:rPr>
              <w:t>Агент</w:t>
            </w:r>
          </w:p>
          <w:p>
            <w:pPr>
              <w:keepLines/>
              <w:spacing w:line="240" w:lineRule="exact" w:before="0" w:after="80"/>
              <w:jc w:val="left"/>
            </w:pPr>
            <w:r>
              <w:rPr>
                <w:rFonts w:ascii="Times New Roman" w:hAnsi="Times New Roman" w:eastAsia="Times New Roman" w:cs="Times New Roman"/>
                <w:color w:val="383A39"/>
                <w:sz w:val="18"/>
              </w:rPr>
              <w:t>ИП Короглуев Филипп Алексеевич</w:t>
              <w:br/>
              <w:t>ИНН 616710986293</w:t>
              <w:br/>
              <w:t>ОГРНИП 326619600084636</w:t>
              <w:br/>
              <w:t>Адрес: 344025, г. Ростов-на-Дону,</w:t>
              <w:br/>
              <w:t>ул. 29-я линия, д. 53</w:t>
              <w:br/>
              <w:t>Email: info@amitut.ru</w:t>
              <w:br/>
              <w:t>Сайт: amitut.ru</w:t>
              <w:br/>
              <w:t>Расчетный счет: 40802810752740032421</w:t>
              <w:br/>
              <w:t>Юго-Западный банк ПАО Сбербанк</w:t>
              <w:br/>
              <w:t>БИК 046015602</w:t>
              <w:br/>
              <w:t>Кор. счет: 30101810600000000602</w:t>
              <w:br/>
              <w:br/>
              <w:t>________________ / Ф. А. Короглуев /</w:t>
              <w:br/>
              <w:t>М. П. (при наличии)</w:t>
            </w:r>
          </w:p>
        </w:tc>
        <w:tc>
          <w:tcPr>
            <w:tcW w:type="dxa" w:w="5173"/>
            <w:vAlign w:val="center"/>
          </w:tcPr>
          <w:p>
            <w:pPr>
              <w:keepLines/>
              <w:spacing w:after="80" w:line="240" w:lineRule="exact" w:before="0"/>
              <w:jc w:val="right"/>
            </w:pPr>
            <w:r>
              <w:rPr>
                <w:rFonts w:ascii="Times New Roman" w:hAnsi="Times New Roman" w:eastAsia="Times New Roman" w:cs="Times New Roman"/>
                <w:b/>
                <w:color w:val="383A39"/>
                <w:sz w:val="18"/>
              </w:rPr>
              <w:t>Принципал</w:t>
            </w:r>
          </w:p>
          <w:p>
            <w:pPr>
              <w:keepLines/>
              <w:spacing w:line="240" w:lineRule="exact" w:before="0" w:after="80"/>
              <w:jc w:val="right"/>
            </w:pPr>
            <w:r>
              <w:rPr>
                <w:rFonts w:ascii="Times New Roman" w:hAnsi="Times New Roman" w:eastAsia="Times New Roman" w:cs="Times New Roman"/>
                <w:color w:val="383A39"/>
                <w:sz w:val="18"/>
              </w:rPr>
              <w:t>Наименование: _____________________</w:t>
              <w:br/>
              <w:t>ИНН: ______________________________</w:t>
              <w:br/>
              <w:t>ОГРН: _____________________________</w:t>
              <w:br/>
              <w:t>Номер записи в реестре: _____________</w:t>
              <w:br/>
              <w:t>Юридический адрес: ________________</w:t>
              <w:br/>
              <w:t>__________________________________</w:t>
              <w:br/>
              <w:t>Email: _____________________________</w:t>
              <w:br/>
              <w:t>Расчетный счет: ____________________</w:t>
              <w:br/>
              <w:t>Банк: ______________________________</w:t>
              <w:br/>
              <w:t>БИК: ______________________________</w:t>
              <w:br/>
              <w:t>Кор. счет: __________________________</w:t>
              <w:br/>
              <w:br/>
              <w:t>________________ / _______________ /</w:t>
              <w:br/>
              <w:t>М. П. (при наличии)</w:t>
            </w:r>
          </w:p>
        </w:tc>
      </w:tr>
    </w:tbl>
    <w:p>
      <w:pPr>
        <w:pStyle w:val="Title"/>
        <w:keepNext/>
        <w:keepLines/>
        <w:pageBreakBefore/>
        <w:widowControl/>
        <w:spacing w:before="0" w:after="68" w:line="500" w:lineRule="exact"/>
        <w:ind w:left="0" w:right="0" w:firstLine="0"/>
        <w:jc w:val="center"/>
      </w:pPr>
      <w:r>
        <w:rPr>
          <w:rFonts w:ascii="Georgia" w:hAnsi="Georgia" w:eastAsia="Georgia" w:cs="Georgia"/>
          <w:b/>
          <w:i w:val="0"/>
          <w:color w:val="000000"/>
          <w:sz w:val="35"/>
        </w:rPr>
        <w:t>Условия подключения и подписки</w:t>
      </w:r>
    </w:p>
    <w:p>
      <w:pPr>
        <w:pStyle w:val="Subtitle"/>
        <w:keepNext/>
        <w:keepLines/>
        <w:widowControl/>
        <w:spacing w:before="0" w:after="240" w:line="300" w:lineRule="exact"/>
        <w:ind w:left="0" w:right="0" w:firstLine="0"/>
        <w:jc w:val="center"/>
      </w:pPr>
      <w:r>
        <w:rPr>
          <w:rFonts w:ascii="Times New Roman" w:hAnsi="Times New Roman" w:eastAsia="Times New Roman" w:cs="Times New Roman"/>
          <w:b w:val="0"/>
          <w:i/>
          <w:color w:val="000000"/>
          <w:sz w:val="21"/>
        </w:rPr>
        <w:t>Приложение № 1 к агентскому договору № [____] от [__________]</w:t>
      </w:r>
    </w:p>
    <w:p>
      <w:pPr>
        <w:keepNext w:val="0"/>
        <w:keepLines/>
        <w:widowControl/>
        <w:spacing w:after="20" w:line="263" w:lineRule="exact" w:before="0"/>
        <w:ind w:left="0" w:right="0" w:firstLine="0"/>
        <w:jc w:val="both"/>
      </w:pPr>
      <w:r>
        <w:rPr>
          <w:rFonts w:ascii="Times New Roman" w:hAnsi="Times New Roman" w:eastAsia="Times New Roman" w:cs="Times New Roman"/>
          <w:color w:val="383A39"/>
          <w:sz w:val="18"/>
        </w:rPr>
        <w:t>Принципал: [полное наименование и ИНН] ____________________________________</w:t>
      </w:r>
    </w:p>
    <w:p>
      <w:pPr>
        <w:keepNext w:val="0"/>
        <w:keepLines/>
        <w:widowControl/>
        <w:spacing w:after="20" w:line="263" w:lineRule="exact" w:before="0"/>
        <w:ind w:left="0" w:right="0" w:firstLine="0"/>
        <w:jc w:val="both"/>
      </w:pPr>
      <w:r>
        <w:rPr>
          <w:rFonts w:ascii="Times New Roman" w:hAnsi="Times New Roman" w:eastAsia="Times New Roman" w:cs="Times New Roman"/>
          <w:color w:val="383A39"/>
          <w:sz w:val="18"/>
        </w:rPr>
        <w:t>Идентификатор партнера и карточки AMITUT: __________________________________</w:t>
      </w:r>
    </w:p>
    <w:p>
      <w:pPr>
        <w:keepNext w:val="0"/>
        <w:keepLines/>
        <w:widowControl/>
        <w:spacing w:after="20" w:line="263" w:lineRule="exact" w:before="0"/>
        <w:ind w:left="0" w:right="0" w:firstLine="0"/>
        <w:jc w:val="both"/>
      </w:pPr>
      <w:r>
        <w:rPr>
          <w:rFonts w:ascii="Times New Roman" w:hAnsi="Times New Roman" w:eastAsia="Times New Roman" w:cs="Times New Roman"/>
          <w:color w:val="383A39"/>
          <w:sz w:val="18"/>
        </w:rPr>
        <w:t>Основной город и филиалы приема залога: ___________________________________</w:t>
      </w:r>
    </w:p>
    <w:p>
      <w:pPr>
        <w:keepNext w:val="0"/>
        <w:keepLines/>
        <w:widowControl/>
        <w:spacing w:after="20" w:line="263" w:lineRule="exact" w:before="0"/>
        <w:ind w:left="0" w:right="0" w:firstLine="0"/>
        <w:jc w:val="both"/>
      </w:pPr>
      <w:r>
        <w:rPr>
          <w:rFonts w:ascii="Times New Roman" w:hAnsi="Times New Roman" w:eastAsia="Times New Roman" w:cs="Times New Roman"/>
          <w:color w:val="383A39"/>
          <w:sz w:val="18"/>
        </w:rPr>
        <w:t>Виды принимаемого залога: _________________________________________________</w:t>
      </w:r>
    </w:p>
    <w:p>
      <w:pPr>
        <w:pStyle w:val="Heading1"/>
        <w:keepNext/>
        <w:keepLines/>
        <w:widowControl/>
        <w:spacing w:before="40" w:after="20" w:line="330" w:lineRule="exact"/>
        <w:ind w:left="0" w:right="0" w:firstLine="0"/>
        <w:jc w:val="left"/>
      </w:pPr>
      <w:r>
        <w:rPr>
          <w:rFonts w:ascii="Times New Roman" w:hAnsi="Times New Roman" w:eastAsia="Times New Roman" w:cs="Times New Roman"/>
          <w:b/>
          <w:i w:val="0"/>
          <w:color w:val="000000"/>
          <w:sz w:val="25"/>
        </w:rPr>
        <w:t>Выбранные территории</w:t>
      </w:r>
    </w:p>
    <w:p>
      <w:pPr>
        <w:keepNext w:val="0"/>
        <w:keepLines/>
        <w:widowControl/>
        <w:spacing w:after="20" w:line="263" w:lineRule="exact" w:before="0"/>
        <w:ind w:left="0" w:right="0" w:firstLine="0"/>
        <w:jc w:val="both"/>
      </w:pPr>
      <w:r>
        <w:rPr>
          <w:rFonts w:ascii="Times New Roman" w:hAnsi="Times New Roman" w:eastAsia="Times New Roman" w:cs="Times New Roman"/>
          <w:color w:val="383A39"/>
          <w:sz w:val="18"/>
        </w:rPr>
        <w:t>География показа карточки: _________________________________________________</w:t>
      </w:r>
    </w:p>
    <w:p>
      <w:pPr>
        <w:keepNext w:val="0"/>
        <w:keepLines/>
        <w:widowControl/>
        <w:spacing w:after="20" w:line="263" w:lineRule="exact" w:before="0"/>
        <w:ind w:left="0" w:right="0" w:firstLine="0"/>
        <w:jc w:val="both"/>
      </w:pPr>
      <w:r>
        <w:rPr>
          <w:rFonts w:ascii="Times New Roman" w:hAnsi="Times New Roman" w:eastAsia="Times New Roman" w:cs="Times New Roman"/>
          <w:color w:val="383A39"/>
          <w:sz w:val="18"/>
        </w:rPr>
        <w:t>География фактического обслуживания: ______________________________________</w:t>
      </w:r>
    </w:p>
    <w:p>
      <w:pPr>
        <w:keepNext w:val="0"/>
        <w:keepLines/>
        <w:widowControl/>
        <w:spacing w:after="20" w:line="263" w:lineRule="exact" w:before="0"/>
        <w:ind w:left="0" w:right="0" w:firstLine="0"/>
        <w:jc w:val="both"/>
      </w:pPr>
      <w:r>
        <w:rPr>
          <w:rFonts w:ascii="Times New Roman" w:hAnsi="Times New Roman" w:eastAsia="Times New Roman" w:cs="Times New Roman"/>
          <w:color w:val="383A39"/>
          <w:sz w:val="18"/>
        </w:rPr>
        <w:t>Оплачиваемые территории уведомлений по субъектам РФ: _____________________</w:t>
      </w:r>
    </w:p>
    <w:p>
      <w:pPr>
        <w:keepNext w:val="0"/>
        <w:keepLines/>
        <w:widowControl/>
        <w:spacing w:after="20" w:line="263" w:lineRule="exact" w:before="0"/>
        <w:ind w:left="0" w:right="0" w:firstLine="0"/>
        <w:jc w:val="both"/>
      </w:pPr>
      <w:r>
        <w:rPr>
          <w:rFonts w:ascii="Times New Roman" w:hAnsi="Times New Roman" w:eastAsia="Times New Roman" w:cs="Times New Roman"/>
          <w:color w:val="383A39"/>
          <w:sz w:val="18"/>
        </w:rPr>
        <w:t>_________________________________________________________________________</w:t>
      </w:r>
    </w:p>
    <w:p>
      <w:pPr>
        <w:pStyle w:val="Heading1"/>
        <w:keepNext/>
        <w:keepLines/>
        <w:widowControl/>
        <w:spacing w:before="40" w:after="20" w:line="330" w:lineRule="exact"/>
        <w:ind w:left="0" w:right="0" w:firstLine="0"/>
        <w:jc w:val="left"/>
      </w:pPr>
      <w:r>
        <w:rPr>
          <w:rFonts w:ascii="Times New Roman" w:hAnsi="Times New Roman" w:eastAsia="Times New Roman" w:cs="Times New Roman"/>
          <w:b/>
          <w:i w:val="0"/>
          <w:color w:val="000000"/>
          <w:sz w:val="25"/>
        </w:rPr>
        <w:t>Тариф размещения</w:t>
      </w:r>
    </w:p>
    <w:tbl>
      <w:tblPr>
        <w:tblStyle w:val="TableGrid"/>
        <w:tblW w:type="auto" w:w="0"/>
        <w:jc w:val="center"/>
        <w:tblLayout w:type="fixed"/>
        <w:tblLook w:firstColumn="1" w:firstRow="1" w:lastColumn="0" w:lastRow="0" w:noHBand="0" w:noVBand="1" w:val="04A0"/>
      </w:tblPr>
      <w:tblGrid>
        <w:gridCol w:w="6378"/>
        <w:gridCol w:w="3969"/>
      </w:tblGrid>
      <w:tr>
        <w:trPr>
          <w:tblHeader/>
          <w:cantSplit/>
        </w:trPr>
        <w:tc>
          <w:tcPr>
            <w:tcW w:type="dxa" w:w="6378"/>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shd w:fill="F2F2F2"/>
          </w:tcPr>
          <w:p>
            <w:pPr>
              <w:keepNext w:val="0"/>
              <w:keepLines/>
              <w:spacing w:after="80" w:line="240" w:lineRule="exact" w:before="0"/>
            </w:pPr>
            <w:r>
              <w:rPr>
                <w:rFonts w:ascii="Times New Roman" w:hAnsi="Times New Roman" w:eastAsia="Times New Roman" w:cs="Times New Roman"/>
                <w:b/>
                <w:color w:val="383A39"/>
                <w:sz w:val="17"/>
              </w:rPr>
              <w:t>Вариант</w:t>
            </w:r>
          </w:p>
        </w:tc>
        <w:tc>
          <w:tcPr>
            <w:tcW w:type="dxa" w:w="3969"/>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shd w:fill="F2F2F2"/>
          </w:tcPr>
          <w:p>
            <w:pPr>
              <w:keepLines/>
              <w:spacing w:after="80" w:line="240" w:lineRule="exact" w:before="0"/>
            </w:pPr>
            <w:r>
              <w:rPr>
                <w:rFonts w:ascii="Times New Roman" w:hAnsi="Times New Roman" w:eastAsia="Times New Roman" w:cs="Times New Roman"/>
                <w:b/>
                <w:color w:val="383A39"/>
                <w:sz w:val="17"/>
              </w:rPr>
              <w:t>Стоимость за 720 часов</w:t>
            </w:r>
          </w:p>
        </w:tc>
      </w:tr>
      <w:tr>
        <w:trPr>
          <w:cantSplit/>
        </w:trPr>
        <w:tc>
          <w:tcPr>
            <w:tcW w:type="dxa" w:w="6378"/>
            <w:vAlign w:val="center"/>
            <w:tcMar>
              <w:top w:w="40" w:type="dxa"/>
              <w:bottom w:w="40" w:type="dxa"/>
              <w:left w:w="80" w:type="dxa"/>
              <w:right w:w="80" w:type="dxa"/>
            </w:tcMar>
            <w:tcBorders>
              <w:top w:val="single" w:sz="4" w:color="BFBFBF"/>
              <w:left w:val="single" w:sz="4" w:color="BFBFBF"/>
              <w:bottom w:val="single" w:sz="4" w:color="BFBFBF"/>
              <w:right w:val="single" w:sz="4" w:color="BFBFBF"/>
            </w:tcBorders>
          </w:tcPr>
          <w:p>
            <w:pPr>
              <w:keepLines/>
              <w:spacing w:after="0" w:line="240" w:lineRule="exact" w:before="0"/>
            </w:pPr>
            <w:r>
              <w:rPr>
                <w:rFonts w:ascii="Times New Roman" w:hAnsi="Times New Roman" w:eastAsia="Times New Roman" w:cs="Times New Roman"/>
                <w:b w:val="0"/>
                <w:color w:val="383A39"/>
                <w:sz w:val="17"/>
              </w:rPr>
              <w:t>Область / край (кроме Московской области)</w:t>
            </w:r>
          </w:p>
        </w:tc>
        <w:tc>
          <w:tcPr>
            <w:tcW w:type="dxa" w:w="3969"/>
            <w:vAlign w:val="center"/>
            <w:tcMar>
              <w:top w:w="40" w:type="dxa"/>
              <w:bottom w:w="40" w:type="dxa"/>
              <w:left w:w="80" w:type="dxa"/>
              <w:right w:w="80" w:type="dxa"/>
            </w:tcMar>
            <w:tcBorders>
              <w:top w:val="single" w:sz="4" w:color="BFBFBF"/>
              <w:left w:val="single" w:sz="4" w:color="BFBFBF"/>
              <w:bottom w:val="single" w:sz="4" w:color="BFBFBF"/>
              <w:right w:val="single" w:sz="4" w:color="BFBFBF"/>
            </w:tcBorders>
          </w:tcPr>
          <w:p>
            <w:pPr>
              <w:keepLines/>
              <w:spacing w:after="0" w:line="240" w:lineRule="exact" w:before="0"/>
            </w:pPr>
            <w:r>
              <w:rPr>
                <w:rFonts w:ascii="Times New Roman" w:hAnsi="Times New Roman" w:eastAsia="Times New Roman" w:cs="Times New Roman"/>
                <w:b w:val="0"/>
                <w:color w:val="383A39"/>
                <w:sz w:val="17"/>
              </w:rPr>
              <w:t>10 000 рублей</w:t>
            </w:r>
          </w:p>
        </w:tc>
      </w:tr>
      <w:tr>
        <w:trPr>
          <w:cantSplit/>
        </w:trPr>
        <w:tc>
          <w:tcPr>
            <w:tcW w:type="dxa" w:w="6378"/>
            <w:vAlign w:val="center"/>
            <w:tcMar>
              <w:top w:w="40" w:type="dxa"/>
              <w:bottom w:w="40" w:type="dxa"/>
              <w:left w:w="80" w:type="dxa"/>
              <w:right w:w="80" w:type="dxa"/>
            </w:tcMar>
            <w:tcBorders>
              <w:top w:val="single" w:sz="4" w:color="BFBFBF"/>
              <w:left w:val="single" w:sz="4" w:color="BFBFBF"/>
              <w:bottom w:val="single" w:sz="4" w:color="BFBFBF"/>
              <w:right w:val="single" w:sz="4" w:color="BFBFBF"/>
            </w:tcBorders>
          </w:tcPr>
          <w:p>
            <w:pPr>
              <w:keepLines/>
              <w:spacing w:after="0" w:line="240" w:lineRule="exact" w:before="0"/>
            </w:pPr>
            <w:r>
              <w:rPr>
                <w:rFonts w:ascii="Times New Roman" w:hAnsi="Times New Roman" w:eastAsia="Times New Roman" w:cs="Times New Roman"/>
                <w:b w:val="0"/>
                <w:color w:val="383A39"/>
                <w:sz w:val="17"/>
              </w:rPr>
              <w:t>Московская область</w:t>
            </w:r>
          </w:p>
        </w:tc>
        <w:tc>
          <w:tcPr>
            <w:tcW w:type="dxa" w:w="3969"/>
            <w:vAlign w:val="center"/>
            <w:tcMar>
              <w:top w:w="40" w:type="dxa"/>
              <w:bottom w:w="40" w:type="dxa"/>
              <w:left w:w="80" w:type="dxa"/>
              <w:right w:w="80" w:type="dxa"/>
            </w:tcMar>
            <w:tcBorders>
              <w:top w:val="single" w:sz="4" w:color="BFBFBF"/>
              <w:left w:val="single" w:sz="4" w:color="BFBFBF"/>
              <w:bottom w:val="single" w:sz="4" w:color="BFBFBF"/>
              <w:right w:val="single" w:sz="4" w:color="BFBFBF"/>
            </w:tcBorders>
          </w:tcPr>
          <w:p>
            <w:pPr>
              <w:keepLines/>
              <w:spacing w:after="0" w:line="240" w:lineRule="exact" w:before="0"/>
            </w:pPr>
            <w:r>
              <w:rPr>
                <w:rFonts w:ascii="Times New Roman" w:hAnsi="Times New Roman" w:eastAsia="Times New Roman" w:cs="Times New Roman"/>
                <w:b w:val="0"/>
                <w:color w:val="383A39"/>
                <w:sz w:val="17"/>
              </w:rPr>
              <w:t>15 000 рублей</w:t>
            </w:r>
          </w:p>
        </w:tc>
      </w:tr>
      <w:tr>
        <w:trPr>
          <w:cantSplit/>
        </w:trPr>
        <w:tc>
          <w:tcPr>
            <w:tcW w:type="dxa" w:w="6378"/>
            <w:vAlign w:val="center"/>
            <w:tcMar>
              <w:top w:w="40" w:type="dxa"/>
              <w:bottom w:w="40" w:type="dxa"/>
              <w:left w:w="80" w:type="dxa"/>
              <w:right w:w="80" w:type="dxa"/>
            </w:tcMar>
            <w:tcBorders>
              <w:top w:val="single" w:sz="4" w:color="BFBFBF"/>
              <w:left w:val="single" w:sz="4" w:color="BFBFBF"/>
              <w:bottom w:val="single" w:sz="4" w:color="BFBFBF"/>
              <w:right w:val="single" w:sz="4" w:color="BFBFBF"/>
            </w:tcBorders>
          </w:tcPr>
          <w:p>
            <w:pPr>
              <w:keepLines/>
              <w:spacing w:after="0" w:line="240" w:lineRule="exact" w:before="0"/>
            </w:pPr>
            <w:r>
              <w:rPr>
                <w:rFonts w:ascii="Times New Roman" w:hAnsi="Times New Roman" w:eastAsia="Times New Roman" w:cs="Times New Roman"/>
                <w:b w:val="0"/>
                <w:color w:val="383A39"/>
                <w:sz w:val="17"/>
              </w:rPr>
              <w:t>Санкт-Петербург</w:t>
            </w:r>
          </w:p>
        </w:tc>
        <w:tc>
          <w:tcPr>
            <w:tcW w:type="dxa" w:w="3969"/>
            <w:vAlign w:val="center"/>
            <w:tcMar>
              <w:top w:w="40" w:type="dxa"/>
              <w:bottom w:w="40" w:type="dxa"/>
              <w:left w:w="80" w:type="dxa"/>
              <w:right w:w="80" w:type="dxa"/>
            </w:tcMar>
            <w:tcBorders>
              <w:top w:val="single" w:sz="4" w:color="BFBFBF"/>
              <w:left w:val="single" w:sz="4" w:color="BFBFBF"/>
              <w:bottom w:val="single" w:sz="4" w:color="BFBFBF"/>
              <w:right w:val="single" w:sz="4" w:color="BFBFBF"/>
            </w:tcBorders>
          </w:tcPr>
          <w:p>
            <w:pPr>
              <w:keepLines/>
              <w:spacing w:after="0" w:line="240" w:lineRule="exact" w:before="0"/>
            </w:pPr>
            <w:r>
              <w:rPr>
                <w:rFonts w:ascii="Times New Roman" w:hAnsi="Times New Roman" w:eastAsia="Times New Roman" w:cs="Times New Roman"/>
                <w:b w:val="0"/>
                <w:color w:val="383A39"/>
                <w:sz w:val="17"/>
              </w:rPr>
              <w:t>20 000 рублей</w:t>
            </w:r>
          </w:p>
        </w:tc>
      </w:tr>
      <w:tr>
        <w:trPr>
          <w:cantSplit/>
        </w:trPr>
        <w:tc>
          <w:tcPr>
            <w:tcW w:type="dxa" w:w="6378"/>
            <w:vAlign w:val="center"/>
            <w:tcMar>
              <w:top w:w="40" w:type="dxa"/>
              <w:bottom w:w="40" w:type="dxa"/>
              <w:left w:w="80" w:type="dxa"/>
              <w:right w:w="80" w:type="dxa"/>
            </w:tcMar>
            <w:tcBorders>
              <w:top w:val="single" w:sz="4" w:color="BFBFBF"/>
              <w:left w:val="single" w:sz="4" w:color="BFBFBF"/>
              <w:bottom w:val="single" w:sz="4" w:color="BFBFBF"/>
              <w:right w:val="single" w:sz="4" w:color="BFBFBF"/>
            </w:tcBorders>
          </w:tcPr>
          <w:p>
            <w:pPr>
              <w:keepLines/>
              <w:spacing w:after="0" w:line="240" w:lineRule="exact" w:before="0"/>
            </w:pPr>
            <w:r>
              <w:rPr>
                <w:rFonts w:ascii="Times New Roman" w:hAnsi="Times New Roman" w:eastAsia="Times New Roman" w:cs="Times New Roman"/>
                <w:b w:val="0"/>
                <w:color w:val="383A39"/>
                <w:sz w:val="17"/>
              </w:rPr>
              <w:t>Москва</w:t>
            </w:r>
          </w:p>
        </w:tc>
        <w:tc>
          <w:tcPr>
            <w:tcW w:type="dxa" w:w="3969"/>
            <w:vAlign w:val="center"/>
            <w:tcMar>
              <w:top w:w="40" w:type="dxa"/>
              <w:bottom w:w="40" w:type="dxa"/>
              <w:left w:w="80" w:type="dxa"/>
              <w:right w:w="80" w:type="dxa"/>
            </w:tcMar>
            <w:tcBorders>
              <w:top w:val="single" w:sz="4" w:color="BFBFBF"/>
              <w:left w:val="single" w:sz="4" w:color="BFBFBF"/>
              <w:bottom w:val="single" w:sz="4" w:color="BFBFBF"/>
              <w:right w:val="single" w:sz="4" w:color="BFBFBF"/>
            </w:tcBorders>
          </w:tcPr>
          <w:p>
            <w:pPr>
              <w:keepLines/>
              <w:spacing w:after="0" w:line="240" w:lineRule="exact" w:before="0"/>
            </w:pPr>
            <w:r>
              <w:rPr>
                <w:rFonts w:ascii="Times New Roman" w:hAnsi="Times New Roman" w:eastAsia="Times New Roman" w:cs="Times New Roman"/>
                <w:b w:val="0"/>
                <w:color w:val="383A39"/>
                <w:sz w:val="17"/>
              </w:rPr>
              <w:t>30 000 рублей</w:t>
            </w:r>
          </w:p>
        </w:tc>
      </w:tr>
      <w:tr>
        <w:trPr>
          <w:cantSplit/>
        </w:trPr>
        <w:tc>
          <w:tcPr>
            <w:tcW w:type="dxa" w:w="6378"/>
            <w:vAlign w:val="center"/>
            <w:tcMar>
              <w:top w:w="40" w:type="dxa"/>
              <w:bottom w:w="40" w:type="dxa"/>
              <w:left w:w="80" w:type="dxa"/>
              <w:right w:w="80" w:type="dxa"/>
            </w:tcMar>
            <w:tcBorders>
              <w:top w:val="single" w:sz="4" w:color="BFBFBF"/>
              <w:left w:val="single" w:sz="4" w:color="BFBFBF"/>
              <w:bottom w:val="single" w:sz="4" w:color="BFBFBF"/>
              <w:right w:val="single" w:sz="4" w:color="BFBFBF"/>
            </w:tcBorders>
          </w:tcPr>
          <w:p>
            <w:pPr>
              <w:keepLines/>
              <w:spacing w:after="0" w:line="240" w:lineRule="exact" w:before="0"/>
            </w:pPr>
            <w:r>
              <w:rPr>
                <w:rFonts w:ascii="Times New Roman" w:hAnsi="Times New Roman" w:eastAsia="Times New Roman" w:cs="Times New Roman"/>
                <w:b w:val="0"/>
                <w:color w:val="383A39"/>
                <w:sz w:val="17"/>
              </w:rPr>
              <w:t>Вся Россия, при доступности услуги</w:t>
            </w:r>
          </w:p>
        </w:tc>
        <w:tc>
          <w:tcPr>
            <w:tcW w:type="dxa" w:w="3969"/>
            <w:vAlign w:val="center"/>
            <w:tcMar>
              <w:top w:w="40" w:type="dxa"/>
              <w:bottom w:w="40" w:type="dxa"/>
              <w:left w:w="80" w:type="dxa"/>
              <w:right w:w="80" w:type="dxa"/>
            </w:tcMar>
            <w:tcBorders>
              <w:top w:val="single" w:sz="4" w:color="BFBFBF"/>
              <w:left w:val="single" w:sz="4" w:color="BFBFBF"/>
              <w:bottom w:val="single" w:sz="4" w:color="BFBFBF"/>
              <w:right w:val="single" w:sz="4" w:color="BFBFBF"/>
            </w:tcBorders>
          </w:tcPr>
          <w:p>
            <w:pPr>
              <w:keepLines/>
              <w:spacing w:after="0" w:line="240" w:lineRule="exact" w:before="0"/>
            </w:pPr>
            <w:r>
              <w:rPr>
                <w:rFonts w:ascii="Times New Roman" w:hAnsi="Times New Roman" w:eastAsia="Times New Roman" w:cs="Times New Roman"/>
                <w:b w:val="0"/>
                <w:color w:val="383A39"/>
                <w:sz w:val="17"/>
              </w:rPr>
              <w:t>80 000 рублей</w:t>
            </w:r>
          </w:p>
        </w:tc>
      </w:tr>
    </w:tbl>
    <w:p>
      <w:pPr>
        <w:keepNext w:val="0"/>
        <w:keepLines/>
        <w:widowControl/>
        <w:spacing w:after="20" w:line="20" w:lineRule="exact" w:before="0"/>
        <w:ind w:left="0" w:right="0" w:firstLine="0"/>
        <w:jc w:val="both"/>
      </w:pPr>
      <w:r>
        <w:rPr>
          <w:rFonts w:ascii="Times New Roman" w:hAnsi="Times New Roman" w:eastAsia="Times New Roman" w:cs="Times New Roman"/>
          <w:color w:val="000000"/>
          <w:sz w:val="18"/>
        </w:rPr>
      </w:r>
    </w:p>
    <w:p>
      <w:pPr>
        <w:keepNext w:val="0"/>
        <w:keepLines/>
        <w:widowControl/>
        <w:spacing w:after="20" w:line="263" w:lineRule="exact" w:before="0"/>
        <w:ind w:left="0" w:right="0" w:firstLine="0"/>
        <w:jc w:val="both"/>
      </w:pPr>
      <w:r>
        <w:rPr>
          <w:rFonts w:ascii="Times New Roman" w:hAnsi="Times New Roman" w:eastAsia="Times New Roman" w:cs="Times New Roman"/>
          <w:color w:val="383A39"/>
          <w:sz w:val="18"/>
        </w:rPr>
        <w:t>Выбранный тариф или размещение без абонплаты: _____________________________</w:t>
      </w:r>
    </w:p>
    <w:p>
      <w:pPr>
        <w:keepNext w:val="0"/>
        <w:keepLines/>
        <w:widowControl/>
        <w:spacing w:after="20" w:line="263" w:lineRule="exact" w:before="0"/>
        <w:ind w:left="0" w:right="0" w:firstLine="0"/>
        <w:jc w:val="both"/>
      </w:pPr>
      <w:r>
        <w:rPr>
          <w:rFonts w:ascii="Times New Roman" w:hAnsi="Times New Roman" w:eastAsia="Times New Roman" w:cs="Times New Roman"/>
          <w:color w:val="383A39"/>
          <w:sz w:val="18"/>
        </w:rPr>
        <w:t>Согласованная сумма за один оплаченный период: _____________________ рублей.</w:t>
      </w:r>
    </w:p>
    <w:p>
      <w:pPr>
        <w:keepNext w:val="0"/>
        <w:keepLines/>
        <w:widowControl/>
        <w:spacing w:after="20" w:line="263" w:lineRule="exact" w:before="0"/>
        <w:ind w:left="0" w:right="0" w:firstLine="0"/>
        <w:jc w:val="both"/>
      </w:pPr>
      <w:r>
        <w:rPr>
          <w:rFonts w:ascii="Times New Roman" w:hAnsi="Times New Roman" w:eastAsia="Times New Roman" w:cs="Times New Roman"/>
          <w:color w:val="383A39"/>
          <w:sz w:val="18"/>
        </w:rPr>
        <w:t>НДС: [выделяется по ставке ___ / не выделяется, основание __________________].</w:t>
      </w:r>
    </w:p>
    <w:p>
      <w:pPr>
        <w:keepNext w:val="0"/>
        <w:keepLines/>
        <w:widowControl/>
        <w:spacing w:after="20" w:line="263" w:lineRule="exact" w:before="0"/>
        <w:ind w:left="0" w:right="0" w:firstLine="0"/>
        <w:jc w:val="both"/>
      </w:pPr>
      <w:r>
        <w:rPr>
          <w:rFonts w:ascii="Times New Roman" w:hAnsi="Times New Roman" w:eastAsia="Times New Roman" w:cs="Times New Roman"/>
          <w:color w:val="383A39"/>
          <w:sz w:val="18"/>
        </w:rPr>
        <w:t>Фактический запуск рекламы: __________. Уведомление за 24 часа: __________. Начало оплаченного периода (дата и время, Москва): ________________________.</w:t>
      </w:r>
    </w:p>
    <w:p>
      <w:pPr>
        <w:keepNext w:val="0"/>
        <w:keepLines/>
        <w:widowControl/>
        <w:spacing w:after="20" w:line="263" w:lineRule="exact" w:before="0"/>
        <w:ind w:left="0" w:right="0" w:firstLine="0"/>
        <w:jc w:val="both"/>
      </w:pPr>
      <w:r>
        <w:rPr>
          <w:rFonts w:ascii="Times New Roman" w:hAnsi="Times New Roman" w:eastAsia="Times New Roman" w:cs="Times New Roman"/>
          <w:color w:val="383A39"/>
          <w:sz w:val="18"/>
        </w:rPr>
        <w:t>Период — 30 суток (720 часов). Начало определяется пунктами 5.2–5.5 Договора: до фактического запуска рекламы оплаченные дни не расходуются. Досрочная повторная оплата после запуска не прибавляет период к прежней дате окончания. Охват тарифа «Вся Россия» подтверждается до оплаты.</w:t>
      </w:r>
    </w:p>
    <w:p>
      <w:pPr>
        <w:pStyle w:val="Heading1"/>
        <w:keepNext/>
        <w:keepLines/>
        <w:widowControl/>
        <w:spacing w:before="40" w:after="20" w:line="330" w:lineRule="exact"/>
        <w:ind w:left="0" w:right="0" w:firstLine="0"/>
        <w:jc w:val="left"/>
      </w:pPr>
      <w:r>
        <w:rPr>
          <w:rFonts w:ascii="Times New Roman" w:hAnsi="Times New Roman" w:eastAsia="Times New Roman" w:cs="Times New Roman"/>
          <w:b/>
          <w:i w:val="0"/>
          <w:color w:val="000000"/>
          <w:sz w:val="25"/>
        </w:rPr>
        <w:t>Связь и учет</w:t>
      </w:r>
    </w:p>
    <w:p>
      <w:pPr>
        <w:keepNext w:val="0"/>
        <w:keepLines/>
        <w:widowControl/>
        <w:spacing w:after="20" w:line="263" w:lineRule="exact" w:before="0"/>
        <w:ind w:left="0" w:right="0" w:firstLine="0"/>
        <w:jc w:val="both"/>
      </w:pPr>
      <w:r>
        <w:rPr>
          <w:rFonts w:ascii="Times New Roman" w:hAnsi="Times New Roman" w:eastAsia="Times New Roman" w:cs="Times New Roman"/>
          <w:color w:val="383A39"/>
          <w:sz w:val="18"/>
        </w:rPr>
        <w:t>Ответственное лицо Ломбарда и полномочия: __________________________________</w:t>
      </w:r>
    </w:p>
    <w:p>
      <w:pPr>
        <w:keepNext w:val="0"/>
        <w:keepLines/>
        <w:widowControl/>
        <w:spacing w:after="20" w:line="263" w:lineRule="exact" w:before="0"/>
        <w:ind w:left="0" w:right="0" w:firstLine="0"/>
        <w:jc w:val="both"/>
      </w:pPr>
      <w:r>
        <w:rPr>
          <w:rFonts w:ascii="Times New Roman" w:hAnsi="Times New Roman" w:eastAsia="Times New Roman" w:cs="Times New Roman"/>
          <w:color w:val="383A39"/>
          <w:sz w:val="18"/>
        </w:rPr>
        <w:t>Канал передачи заявок: [кабинет AMITUT / MAX при подключении / email / иной] ____</w:t>
      </w:r>
    </w:p>
    <w:p>
      <w:pPr>
        <w:keepNext w:val="0"/>
        <w:keepLines/>
        <w:widowControl/>
        <w:spacing w:after="20" w:line="263" w:lineRule="exact" w:before="0"/>
        <w:ind w:left="0" w:right="0" w:firstLine="0"/>
        <w:jc w:val="both"/>
      </w:pPr>
      <w:r>
        <w:rPr>
          <w:rFonts w:ascii="Times New Roman" w:hAnsi="Times New Roman" w:eastAsia="Times New Roman" w:cs="Times New Roman"/>
          <w:color w:val="383A39"/>
          <w:sz w:val="18"/>
        </w:rPr>
        <w:t>Адрес или идентификатор канала: ___________________________________________</w:t>
      </w:r>
    </w:p>
    <w:p>
      <w:pPr>
        <w:keepNext w:val="0"/>
        <w:keepLines/>
        <w:widowControl/>
        <w:spacing w:after="20" w:line="263" w:lineRule="exact" w:before="0"/>
        <w:ind w:left="0" w:right="0" w:firstLine="0"/>
        <w:jc w:val="both"/>
      </w:pPr>
      <w:r>
        <w:rPr>
          <w:rFonts w:ascii="Times New Roman" w:hAnsi="Times New Roman" w:eastAsia="Times New Roman" w:cs="Times New Roman"/>
          <w:color w:val="383A39"/>
          <w:sz w:val="18"/>
        </w:rPr>
        <w:t>Канал отчетов и юридически значимых сообщений: _____________________________</w:t>
      </w:r>
    </w:p>
    <w:p>
      <w:pPr>
        <w:keepNext w:val="0"/>
        <w:keepLines/>
        <w:widowControl/>
        <w:spacing w:after="20" w:line="263" w:lineRule="exact" w:before="0"/>
        <w:ind w:left="0" w:right="0" w:firstLine="0"/>
        <w:jc w:val="both"/>
      </w:pPr>
      <w:r>
        <w:rPr>
          <w:rFonts w:ascii="Times New Roman" w:hAnsi="Times New Roman" w:eastAsia="Times New Roman" w:cs="Times New Roman"/>
          <w:color w:val="383A39"/>
          <w:sz w:val="18"/>
        </w:rPr>
        <w:t>Комиссия и оплаченные периоды определяются по разделам 3–5 Договора.</w:t>
      </w:r>
    </w:p>
    <w:tbl>
      <w:tblPr>
        <w:tblW w:type="auto" w:w="0"/>
        <w:tblLayout w:type="fixed"/>
        <w:tblLook w:firstColumn="1" w:firstRow="1" w:lastColumn="0" w:lastRow="0" w:noHBand="0" w:noVBand="1" w:val="04A0"/>
        <w:jc w:val="center"/>
        <w:tblBorders>
          <w:top w:val="nil"/>
          <w:left w:val="nil"/>
          <w:bottom w:val="nil"/>
          <w:right w:val="nil"/>
          <w:insideH w:val="nil"/>
          <w:insideV w:val="nil"/>
        </w:tblBorders>
      </w:tblPr>
      <w:tblGrid>
        <w:gridCol w:w="5173"/>
        <w:gridCol w:w="5173"/>
      </w:tblGrid>
      <w:tr>
        <w:trPr>
          <w:cantSplit/>
        </w:trPr>
        <w:tc>
          <w:tcPr>
            <w:tcW w:type="dxa" w:w="5173"/>
            <w:vAlign w:val="center"/>
          </w:tcPr>
          <w:p>
            <w:pPr>
              <w:keepLines/>
              <w:spacing w:after="80" w:line="240" w:lineRule="exact" w:before="0"/>
              <w:jc w:val="left"/>
            </w:pPr>
            <w:r>
              <w:rPr>
                <w:rFonts w:ascii="Times New Roman" w:hAnsi="Times New Roman" w:eastAsia="Times New Roman" w:cs="Times New Roman"/>
                <w:b/>
                <w:color w:val="383A39"/>
                <w:sz w:val="18"/>
              </w:rPr>
              <w:t>Агент</w:t>
            </w:r>
          </w:p>
          <w:p>
            <w:pPr>
              <w:keepLines/>
              <w:spacing w:line="240" w:lineRule="exact" w:before="0" w:after="80"/>
              <w:jc w:val="left"/>
            </w:pPr>
            <w:r>
              <w:rPr>
                <w:rFonts w:ascii="Times New Roman" w:hAnsi="Times New Roman" w:eastAsia="Times New Roman" w:cs="Times New Roman"/>
                <w:color w:val="383A39"/>
                <w:sz w:val="18"/>
              </w:rPr>
              <w:t>ИП Короглуев Филипп Алексеевич</w:t>
              <w:br/>
              <w:t>________________ / Ф. А. Короглуев /</w:t>
              <w:br/>
              <w:t>М. П. (при наличии)</w:t>
            </w:r>
          </w:p>
        </w:tc>
        <w:tc>
          <w:tcPr>
            <w:tcW w:type="dxa" w:w="5173"/>
            <w:vAlign w:val="center"/>
          </w:tcPr>
          <w:p>
            <w:pPr>
              <w:keepLines/>
              <w:spacing w:after="80" w:line="240" w:lineRule="exact" w:before="0"/>
              <w:jc w:val="right"/>
            </w:pPr>
            <w:r>
              <w:rPr>
                <w:rFonts w:ascii="Times New Roman" w:hAnsi="Times New Roman" w:eastAsia="Times New Roman" w:cs="Times New Roman"/>
                <w:b/>
                <w:color w:val="383A39"/>
                <w:sz w:val="18"/>
              </w:rPr>
              <w:t>Принципал</w:t>
            </w:r>
          </w:p>
          <w:p>
            <w:pPr>
              <w:keepLines/>
              <w:spacing w:line="240" w:lineRule="exact" w:before="0" w:after="80"/>
              <w:jc w:val="right"/>
            </w:pPr>
            <w:r>
              <w:rPr>
                <w:rFonts w:ascii="Times New Roman" w:hAnsi="Times New Roman" w:eastAsia="Times New Roman" w:cs="Times New Roman"/>
                <w:color w:val="383A39"/>
                <w:sz w:val="18"/>
              </w:rPr>
              <w:t>[наименование Ломбарда]</w:t>
              <w:br/>
              <w:t>________________ / ______________ /</w:t>
              <w:br/>
              <w:t>М. П. (при наличии)</w:t>
            </w:r>
          </w:p>
        </w:tc>
      </w:tr>
    </w:tbl>
    <w:p>
      <w:pPr>
        <w:pStyle w:val="Title"/>
        <w:keepNext/>
        <w:keepLines/>
        <w:pageBreakBefore/>
        <w:widowControl/>
        <w:spacing w:before="0" w:after="68" w:line="500" w:lineRule="exact"/>
        <w:ind w:left="0" w:right="0" w:firstLine="0"/>
        <w:jc w:val="center"/>
      </w:pPr>
      <w:r>
        <w:rPr>
          <w:rFonts w:ascii="Georgia" w:hAnsi="Georgia" w:eastAsia="Georgia" w:cs="Georgia"/>
          <w:b/>
          <w:i w:val="0"/>
          <w:color w:val="000000"/>
          <w:sz w:val="35"/>
        </w:rPr>
        <w:t>Отчет агента и расчет вознаграждения</w:t>
      </w:r>
    </w:p>
    <w:p>
      <w:pPr>
        <w:pStyle w:val="Subtitle"/>
        <w:keepNext/>
        <w:keepLines/>
        <w:widowControl/>
        <w:spacing w:before="0" w:after="240" w:line="300" w:lineRule="exact"/>
        <w:ind w:left="0" w:right="0" w:firstLine="0"/>
        <w:jc w:val="center"/>
      </w:pPr>
      <w:r>
        <w:rPr>
          <w:rFonts w:ascii="Times New Roman" w:hAnsi="Times New Roman" w:eastAsia="Times New Roman" w:cs="Times New Roman"/>
          <w:b w:val="0"/>
          <w:i/>
          <w:color w:val="000000"/>
          <w:sz w:val="21"/>
        </w:rPr>
        <w:t>Приложение № 2 к агентскому договору № [____] от [__________]</w:t>
      </w:r>
    </w:p>
    <w:p>
      <w:pPr>
        <w:keepNext w:val="0"/>
        <w:keepLines/>
        <w:widowControl/>
        <w:spacing w:after="60" w:line="263" w:lineRule="exact" w:before="0"/>
        <w:ind w:left="0" w:right="0" w:firstLine="0"/>
        <w:jc w:val="both"/>
      </w:pPr>
      <w:r>
        <w:rPr>
          <w:rFonts w:ascii="Times New Roman" w:hAnsi="Times New Roman" w:eastAsia="Times New Roman" w:cs="Times New Roman"/>
          <w:color w:val="383A39"/>
          <w:sz w:val="18"/>
        </w:rPr>
        <w:t>Отчет № [____] за [месяц и год] __________________. Дата направления: __________.</w:t>
      </w:r>
    </w:p>
    <w:p>
      <w:pPr>
        <w:keepNext w:val="0"/>
        <w:keepLines/>
        <w:widowControl/>
        <w:spacing w:after="60" w:line="263" w:lineRule="exact" w:before="0"/>
        <w:ind w:left="0" w:right="0" w:firstLine="0"/>
        <w:jc w:val="both"/>
      </w:pPr>
      <w:r>
        <w:rPr>
          <w:rFonts w:ascii="Times New Roman" w:hAnsi="Times New Roman" w:eastAsia="Times New Roman" w:cs="Times New Roman"/>
          <w:color w:val="383A39"/>
          <w:sz w:val="18"/>
        </w:rPr>
        <w:t>Агент: ИП Короглуев Филипп Алексеевич. Принципал: ______________________________.</w:t>
      </w:r>
    </w:p>
    <w:p>
      <w:pPr>
        <w:keepNext w:val="0"/>
        <w:keepLines/>
        <w:widowControl/>
        <w:spacing w:after="60" w:line="263" w:lineRule="exact" w:before="0"/>
        <w:ind w:left="0" w:right="0" w:firstLine="0"/>
        <w:jc w:val="both"/>
      </w:pPr>
      <w:r>
        <w:rPr>
          <w:rFonts w:ascii="Times New Roman" w:hAnsi="Times New Roman" w:eastAsia="Times New Roman" w:cs="Times New Roman"/>
          <w:color w:val="383A39"/>
          <w:sz w:val="18"/>
        </w:rPr>
        <w:t>Выполненные действия: __________________________________________________.</w:t>
      </w:r>
    </w:p>
    <w:p>
      <w:pPr>
        <w:keepNext w:val="0"/>
        <w:keepLines/>
        <w:widowControl/>
        <w:spacing w:after="60" w:line="263" w:lineRule="exact" w:before="0"/>
        <w:ind w:left="0" w:right="0" w:firstLine="0"/>
        <w:jc w:val="both"/>
      </w:pPr>
      <w:r>
        <w:rPr>
          <w:rFonts w:ascii="Times New Roman" w:hAnsi="Times New Roman" w:eastAsia="Times New Roman" w:cs="Times New Roman"/>
          <w:color w:val="383A39"/>
          <w:sz w:val="18"/>
        </w:rPr>
        <w:t>Подтверждающие документы и ссылки: ______________________________________.</w:t>
      </w:r>
    </w:p>
    <w:p>
      <w:pPr>
        <w:keepNext w:val="0"/>
        <w:keepLines/>
        <w:widowControl/>
        <w:spacing w:after="60" w:line="263" w:lineRule="exact" w:before="0"/>
        <w:ind w:left="0" w:right="0" w:firstLine="0"/>
        <w:jc w:val="both"/>
      </w:pPr>
      <w:r>
        <w:rPr>
          <w:rFonts w:ascii="Times New Roman" w:hAnsi="Times New Roman" w:eastAsia="Times New Roman" w:cs="Times New Roman"/>
          <w:color w:val="383A39"/>
          <w:sz w:val="18"/>
        </w:rPr>
        <w:t>Реестр Принципала (дата, идентификатор): ____________________________________.</w:t>
      </w:r>
    </w:p>
    <w:p>
      <w:pPr>
        <w:pStyle w:val="Heading1"/>
        <w:keepNext/>
        <w:keepLines/>
        <w:widowControl/>
        <w:spacing w:before="40" w:after="130" w:line="330" w:lineRule="exact"/>
        <w:ind w:left="0" w:right="0" w:firstLine="0"/>
        <w:jc w:val="left"/>
      </w:pPr>
      <w:r>
        <w:rPr>
          <w:rFonts w:ascii="Times New Roman" w:hAnsi="Times New Roman" w:eastAsia="Times New Roman" w:cs="Times New Roman"/>
          <w:b/>
          <w:i w:val="0"/>
          <w:color w:val="000000"/>
          <w:sz w:val="25"/>
        </w:rPr>
        <w:t>Выдачи и единовременное вознаграждение</w:t>
      </w:r>
    </w:p>
    <w:tbl>
      <w:tblPr>
        <w:tblStyle w:val="TableGrid"/>
        <w:tblW w:type="auto" w:w="0"/>
        <w:jc w:val="center"/>
        <w:tblLayout w:type="fixed"/>
        <w:tblLook w:firstColumn="1" w:firstRow="1" w:lastColumn="0" w:lastRow="0" w:noHBand="0" w:noVBand="1" w:val="04A0"/>
      </w:tblPr>
      <w:tblGrid>
        <w:gridCol w:w="1729"/>
        <w:gridCol w:w="1701"/>
        <w:gridCol w:w="907"/>
        <w:gridCol w:w="2268"/>
        <w:gridCol w:w="1814"/>
        <w:gridCol w:w="1928"/>
      </w:tblGrid>
      <w:tr>
        <w:trPr>
          <w:tblHeader/>
          <w:cantSplit/>
        </w:trPr>
        <w:tc>
          <w:tcPr>
            <w:tcW w:type="dxa" w:w="1729"/>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shd w:fill="F2F2F2"/>
          </w:tcPr>
          <w:p>
            <w:pPr>
              <w:keepNext w:val="0"/>
              <w:keepLines/>
              <w:spacing w:after="80" w:line="240" w:lineRule="exact" w:before="0"/>
            </w:pPr>
            <w:r>
              <w:rPr>
                <w:rFonts w:ascii="Times New Roman" w:hAnsi="Times New Roman" w:eastAsia="Times New Roman" w:cs="Times New Roman"/>
                <w:b/>
                <w:color w:val="383A39"/>
                <w:sz w:val="17"/>
              </w:rPr>
              <w:t>ID заявки / займа</w:t>
            </w:r>
          </w:p>
        </w:tc>
        <w:tc>
          <w:tcPr>
            <w:tcW w:type="dxa" w:w="1701"/>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shd w:fill="F2F2F2"/>
          </w:tcPr>
          <w:p>
            <w:pPr>
              <w:keepLines/>
              <w:spacing w:after="80" w:line="240" w:lineRule="exact" w:before="0"/>
            </w:pPr>
            <w:r>
              <w:rPr>
                <w:rFonts w:ascii="Times New Roman" w:hAnsi="Times New Roman" w:eastAsia="Times New Roman" w:cs="Times New Roman"/>
                <w:b/>
                <w:color w:val="383A39"/>
                <w:sz w:val="17"/>
              </w:rPr>
              <w:t>Выдано, руб.</w:t>
            </w:r>
          </w:p>
        </w:tc>
        <w:tc>
          <w:tcPr>
            <w:tcW w:type="dxa" w:w="907"/>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shd w:fill="F2F2F2"/>
          </w:tcPr>
          <w:p>
            <w:pPr>
              <w:keepLines/>
              <w:spacing w:after="80" w:line="240" w:lineRule="exact" w:before="0"/>
            </w:pPr>
            <w:r>
              <w:rPr>
                <w:rFonts w:ascii="Times New Roman" w:hAnsi="Times New Roman" w:eastAsia="Times New Roman" w:cs="Times New Roman"/>
                <w:b/>
                <w:color w:val="383A39"/>
                <w:sz w:val="17"/>
              </w:rPr>
              <w:t>Ставка, %</w:t>
            </w:r>
          </w:p>
        </w:tc>
        <w:tc>
          <w:tcPr>
            <w:tcW w:type="dxa" w:w="2268"/>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shd w:fill="F2F2F2"/>
          </w:tcPr>
          <w:p>
            <w:pPr>
              <w:keepLines/>
              <w:spacing w:after="80" w:line="240" w:lineRule="exact" w:before="0"/>
            </w:pPr>
            <w:r>
              <w:rPr>
                <w:rFonts w:ascii="Times New Roman" w:hAnsi="Times New Roman" w:eastAsia="Times New Roman" w:cs="Times New Roman"/>
                <w:b/>
                <w:color w:val="383A39"/>
                <w:sz w:val="17"/>
              </w:rPr>
              <w:t>Вознаграждение, руб.</w:t>
            </w:r>
          </w:p>
        </w:tc>
        <w:tc>
          <w:tcPr>
            <w:tcW w:type="dxa" w:w="1814"/>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shd w:fill="F2F2F2"/>
          </w:tcPr>
          <w:p>
            <w:pPr>
              <w:keepLines/>
              <w:spacing w:after="80" w:line="240" w:lineRule="exact" w:before="0"/>
            </w:pPr>
            <w:r>
              <w:rPr>
                <w:rFonts w:ascii="Times New Roman" w:hAnsi="Times New Roman" w:eastAsia="Times New Roman" w:cs="Times New Roman"/>
                <w:b/>
                <w:color w:val="383A39"/>
                <w:sz w:val="17"/>
              </w:rPr>
              <w:t>Уплачено, руб.</w:t>
            </w:r>
          </w:p>
        </w:tc>
        <w:tc>
          <w:tcPr>
            <w:tcW w:type="dxa" w:w="1928"/>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shd w:fill="F2F2F2"/>
          </w:tcPr>
          <w:p>
            <w:pPr>
              <w:keepLines/>
              <w:spacing w:after="80" w:line="240" w:lineRule="exact" w:before="0"/>
            </w:pPr>
            <w:r>
              <w:rPr>
                <w:rFonts w:ascii="Times New Roman" w:hAnsi="Times New Roman" w:eastAsia="Times New Roman" w:cs="Times New Roman"/>
                <w:b/>
                <w:color w:val="383A39"/>
                <w:sz w:val="17"/>
              </w:rPr>
              <w:t>Остаток, руб.</w:t>
            </w:r>
          </w:p>
        </w:tc>
      </w:tr>
      <w:tr>
        <w:trPr>
          <w:cantSplit/>
        </w:trPr>
        <w:tc>
          <w:tcPr>
            <w:tcW w:type="dxa" w:w="1729"/>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tcPr>
          <w:p>
            <w:pPr>
              <w:keepLines/>
              <w:spacing w:after="80" w:line="240" w:lineRule="exact" w:before="0"/>
            </w:pPr>
            <w:r>
              <w:rPr>
                <w:rFonts w:ascii="Times New Roman" w:hAnsi="Times New Roman" w:eastAsia="Times New Roman" w:cs="Times New Roman"/>
                <w:b w:val="0"/>
                <w:color w:val="383A39"/>
                <w:sz w:val="17"/>
              </w:rPr>
              <w:t>________</w:t>
            </w:r>
          </w:p>
        </w:tc>
        <w:tc>
          <w:tcPr>
            <w:tcW w:type="dxa" w:w="1701"/>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tcPr>
          <w:p>
            <w:pPr>
              <w:keepLines/>
              <w:spacing w:after="80" w:line="240" w:lineRule="exact" w:before="0"/>
            </w:pPr>
            <w:r>
              <w:rPr>
                <w:rFonts w:ascii="Times New Roman" w:hAnsi="Times New Roman" w:eastAsia="Times New Roman" w:cs="Times New Roman"/>
                <w:b w:val="0"/>
                <w:color w:val="383A39"/>
                <w:sz w:val="17"/>
              </w:rPr>
              <w:t>________</w:t>
            </w:r>
          </w:p>
        </w:tc>
        <w:tc>
          <w:tcPr>
            <w:tcW w:type="dxa" w:w="907"/>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tcPr>
          <w:p>
            <w:pPr>
              <w:keepLines/>
              <w:spacing w:after="80" w:line="240" w:lineRule="exact" w:before="0"/>
            </w:pPr>
            <w:r>
              <w:rPr>
                <w:rFonts w:ascii="Times New Roman" w:hAnsi="Times New Roman" w:eastAsia="Times New Roman" w:cs="Times New Roman"/>
                <w:b w:val="0"/>
                <w:color w:val="383A39"/>
                <w:sz w:val="17"/>
              </w:rPr>
              <w:t>___</w:t>
            </w:r>
          </w:p>
        </w:tc>
        <w:tc>
          <w:tcPr>
            <w:tcW w:type="dxa" w:w="2268"/>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tcPr>
          <w:p>
            <w:pPr>
              <w:keepLines/>
              <w:spacing w:after="80" w:line="240" w:lineRule="exact" w:before="0"/>
            </w:pPr>
            <w:r>
              <w:rPr>
                <w:rFonts w:ascii="Times New Roman" w:hAnsi="Times New Roman" w:eastAsia="Times New Roman" w:cs="Times New Roman"/>
                <w:b w:val="0"/>
                <w:color w:val="383A39"/>
                <w:sz w:val="17"/>
              </w:rPr>
              <w:t>________</w:t>
            </w:r>
          </w:p>
        </w:tc>
        <w:tc>
          <w:tcPr>
            <w:tcW w:type="dxa" w:w="1814"/>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tcPr>
          <w:p>
            <w:pPr>
              <w:keepLines/>
              <w:spacing w:after="80" w:line="240" w:lineRule="exact" w:before="0"/>
            </w:pPr>
            <w:r>
              <w:rPr>
                <w:rFonts w:ascii="Times New Roman" w:hAnsi="Times New Roman" w:eastAsia="Times New Roman" w:cs="Times New Roman"/>
                <w:b w:val="0"/>
                <w:color w:val="383A39"/>
                <w:sz w:val="17"/>
              </w:rPr>
              <w:t>________</w:t>
            </w:r>
          </w:p>
        </w:tc>
        <w:tc>
          <w:tcPr>
            <w:tcW w:type="dxa" w:w="1928"/>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tcPr>
          <w:p>
            <w:pPr>
              <w:keepLines/>
              <w:spacing w:after="80" w:line="240" w:lineRule="exact" w:before="0"/>
            </w:pPr>
            <w:r>
              <w:rPr>
                <w:rFonts w:ascii="Times New Roman" w:hAnsi="Times New Roman" w:eastAsia="Times New Roman" w:cs="Times New Roman"/>
                <w:b w:val="0"/>
                <w:color w:val="383A39"/>
                <w:sz w:val="17"/>
              </w:rPr>
              <w:t>________</w:t>
            </w:r>
          </w:p>
        </w:tc>
      </w:tr>
    </w:tbl>
    <w:p>
      <w:pPr>
        <w:keepNext w:val="0"/>
        <w:keepLines/>
        <w:widowControl/>
        <w:spacing w:after="80" w:line="20" w:lineRule="exact" w:before="0"/>
        <w:ind w:left="0" w:right="0" w:firstLine="0"/>
        <w:jc w:val="both"/>
      </w:pPr>
      <w:r>
        <w:rPr>
          <w:rFonts w:ascii="Times New Roman" w:hAnsi="Times New Roman" w:eastAsia="Times New Roman" w:cs="Times New Roman"/>
          <w:color w:val="000000"/>
          <w:sz w:val="18"/>
        </w:rPr>
      </w:r>
    </w:p>
    <w:p>
      <w:pPr>
        <w:keepNext w:val="0"/>
        <w:keepLines/>
        <w:widowControl/>
        <w:spacing w:after="60" w:line="263" w:lineRule="exact" w:before="0"/>
        <w:ind w:left="0" w:right="0" w:firstLine="0"/>
        <w:jc w:val="both"/>
      </w:pPr>
      <w:r>
        <w:rPr>
          <w:rFonts w:ascii="Times New Roman" w:hAnsi="Times New Roman" w:eastAsia="Times New Roman" w:cs="Times New Roman"/>
          <w:color w:val="383A39"/>
          <w:sz w:val="18"/>
        </w:rPr>
        <w:t>Расшифровка выдач и оснований ставок прилагается по пунктам 3.6 и 6.2 Договора.</w:t>
      </w:r>
    </w:p>
    <w:p>
      <w:pPr>
        <w:pStyle w:val="Heading1"/>
        <w:keepNext/>
        <w:keepLines/>
        <w:widowControl/>
        <w:spacing w:before="40" w:after="130" w:line="330" w:lineRule="exact"/>
        <w:ind w:left="0" w:right="0" w:firstLine="0"/>
        <w:jc w:val="left"/>
      </w:pPr>
      <w:r>
        <w:rPr>
          <w:rFonts w:ascii="Times New Roman" w:hAnsi="Times New Roman" w:eastAsia="Times New Roman" w:cs="Times New Roman"/>
          <w:b/>
          <w:i w:val="0"/>
          <w:color w:val="000000"/>
          <w:sz w:val="25"/>
        </w:rPr>
        <w:t>Поступления и ежемесячное вознаграждение</w:t>
      </w:r>
    </w:p>
    <w:tbl>
      <w:tblPr>
        <w:tblStyle w:val="TableGrid"/>
        <w:tblW w:type="auto" w:w="0"/>
        <w:jc w:val="center"/>
        <w:tblLayout w:type="fixed"/>
        <w:tblLook w:firstColumn="1" w:firstRow="1" w:lastColumn="0" w:lastRow="0" w:noHBand="0" w:noVBand="1" w:val="04A0"/>
      </w:tblPr>
      <w:tblGrid>
        <w:gridCol w:w="1644"/>
        <w:gridCol w:w="1814"/>
        <w:gridCol w:w="1786"/>
        <w:gridCol w:w="1814"/>
        <w:gridCol w:w="879"/>
        <w:gridCol w:w="2409"/>
      </w:tblGrid>
      <w:tr>
        <w:trPr>
          <w:tblHeader/>
          <w:cantSplit/>
        </w:trPr>
        <w:tc>
          <w:tcPr>
            <w:tcW w:type="dxa" w:w="1644"/>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shd w:fill="F2F2F2"/>
          </w:tcPr>
          <w:p>
            <w:pPr>
              <w:keepNext w:val="0"/>
              <w:keepLines/>
              <w:spacing w:after="80" w:line="240" w:lineRule="exact" w:before="0"/>
            </w:pPr>
            <w:r>
              <w:rPr>
                <w:rFonts w:ascii="Times New Roman" w:hAnsi="Times New Roman" w:eastAsia="Times New Roman" w:cs="Times New Roman"/>
                <w:b/>
                <w:color w:val="383A39"/>
                <w:sz w:val="17"/>
              </w:rPr>
              <w:t>ID заявки / займа</w:t>
            </w:r>
          </w:p>
        </w:tc>
        <w:tc>
          <w:tcPr>
            <w:tcW w:type="dxa" w:w="1814"/>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shd w:fill="F2F2F2"/>
          </w:tcPr>
          <w:p>
            <w:pPr>
              <w:keepLines/>
              <w:spacing w:after="80" w:line="240" w:lineRule="exact" w:before="0"/>
            </w:pPr>
            <w:r>
              <w:rPr>
                <w:rFonts w:ascii="Times New Roman" w:hAnsi="Times New Roman" w:eastAsia="Times New Roman" w:cs="Times New Roman"/>
                <w:b/>
                <w:color w:val="383A39"/>
                <w:sz w:val="17"/>
              </w:rPr>
              <w:t>Всего получено, руб.</w:t>
            </w:r>
          </w:p>
        </w:tc>
        <w:tc>
          <w:tcPr>
            <w:tcW w:type="dxa" w:w="1786"/>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shd w:fill="F2F2F2"/>
          </w:tcPr>
          <w:p>
            <w:pPr>
              <w:keepLines/>
              <w:spacing w:after="80" w:line="240" w:lineRule="exact" w:before="0"/>
            </w:pPr>
            <w:r>
              <w:rPr>
                <w:rFonts w:ascii="Times New Roman" w:hAnsi="Times New Roman" w:eastAsia="Times New Roman" w:cs="Times New Roman"/>
                <w:b/>
                <w:color w:val="383A39"/>
                <w:sz w:val="17"/>
              </w:rPr>
              <w:t>Основной долг, руб.</w:t>
            </w:r>
          </w:p>
        </w:tc>
        <w:tc>
          <w:tcPr>
            <w:tcW w:type="dxa" w:w="1814"/>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shd w:fill="F2F2F2"/>
          </w:tcPr>
          <w:p>
            <w:pPr>
              <w:keepLines/>
              <w:spacing w:after="80" w:line="240" w:lineRule="exact" w:before="0"/>
            </w:pPr>
            <w:r>
              <w:rPr>
                <w:rFonts w:ascii="Times New Roman" w:hAnsi="Times New Roman" w:eastAsia="Times New Roman" w:cs="Times New Roman"/>
                <w:b/>
                <w:color w:val="383A39"/>
                <w:sz w:val="17"/>
              </w:rPr>
              <w:t>Доходная база, руб.</w:t>
            </w:r>
          </w:p>
        </w:tc>
        <w:tc>
          <w:tcPr>
            <w:tcW w:type="dxa" w:w="879"/>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shd w:fill="F2F2F2"/>
          </w:tcPr>
          <w:p>
            <w:pPr>
              <w:keepLines/>
              <w:spacing w:after="80" w:line="240" w:lineRule="exact" w:before="0"/>
            </w:pPr>
            <w:r>
              <w:rPr>
                <w:rFonts w:ascii="Times New Roman" w:hAnsi="Times New Roman" w:eastAsia="Times New Roman" w:cs="Times New Roman"/>
                <w:b/>
                <w:color w:val="383A39"/>
                <w:sz w:val="17"/>
              </w:rPr>
              <w:t>Ставка</w:t>
              <w:br/>
              <w:t>%</w:t>
            </w:r>
          </w:p>
        </w:tc>
        <w:tc>
          <w:tcPr>
            <w:tcW w:type="dxa" w:w="2409"/>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shd w:fill="F2F2F2"/>
          </w:tcPr>
          <w:p>
            <w:pPr>
              <w:keepLines/>
              <w:spacing w:after="80" w:line="240" w:lineRule="exact" w:before="0"/>
            </w:pPr>
            <w:r>
              <w:rPr>
                <w:rFonts w:ascii="Times New Roman" w:hAnsi="Times New Roman" w:eastAsia="Times New Roman" w:cs="Times New Roman"/>
                <w:b/>
                <w:color w:val="383A39"/>
                <w:sz w:val="17"/>
              </w:rPr>
              <w:t>Вознаграждение, руб.</w:t>
            </w:r>
          </w:p>
        </w:tc>
      </w:tr>
      <w:tr>
        <w:trPr>
          <w:cantSplit/>
        </w:trPr>
        <w:tc>
          <w:tcPr>
            <w:tcW w:type="dxa" w:w="1644"/>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tcPr>
          <w:p>
            <w:pPr>
              <w:keepLines/>
              <w:spacing w:after="80" w:line="240" w:lineRule="exact" w:before="0"/>
            </w:pPr>
            <w:r>
              <w:rPr>
                <w:rFonts w:ascii="Times New Roman" w:hAnsi="Times New Roman" w:eastAsia="Times New Roman" w:cs="Times New Roman"/>
                <w:b w:val="0"/>
                <w:color w:val="383A39"/>
                <w:sz w:val="17"/>
              </w:rPr>
              <w:t>________</w:t>
            </w:r>
          </w:p>
        </w:tc>
        <w:tc>
          <w:tcPr>
            <w:tcW w:type="dxa" w:w="1814"/>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tcPr>
          <w:p>
            <w:pPr>
              <w:keepLines/>
              <w:spacing w:after="80" w:line="240" w:lineRule="exact" w:before="0"/>
            </w:pPr>
            <w:r>
              <w:rPr>
                <w:rFonts w:ascii="Times New Roman" w:hAnsi="Times New Roman" w:eastAsia="Times New Roman" w:cs="Times New Roman"/>
                <w:b w:val="0"/>
                <w:color w:val="383A39"/>
                <w:sz w:val="17"/>
              </w:rPr>
              <w:t>________</w:t>
            </w:r>
          </w:p>
        </w:tc>
        <w:tc>
          <w:tcPr>
            <w:tcW w:type="dxa" w:w="1786"/>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tcPr>
          <w:p>
            <w:pPr>
              <w:keepLines/>
              <w:spacing w:after="80" w:line="240" w:lineRule="exact" w:before="0"/>
            </w:pPr>
            <w:r>
              <w:rPr>
                <w:rFonts w:ascii="Times New Roman" w:hAnsi="Times New Roman" w:eastAsia="Times New Roman" w:cs="Times New Roman"/>
                <w:b w:val="0"/>
                <w:color w:val="383A39"/>
                <w:sz w:val="17"/>
              </w:rPr>
              <w:t>________</w:t>
            </w:r>
          </w:p>
        </w:tc>
        <w:tc>
          <w:tcPr>
            <w:tcW w:type="dxa" w:w="1814"/>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tcPr>
          <w:p>
            <w:pPr>
              <w:keepLines/>
              <w:spacing w:after="80" w:line="240" w:lineRule="exact" w:before="0"/>
            </w:pPr>
            <w:r>
              <w:rPr>
                <w:rFonts w:ascii="Times New Roman" w:hAnsi="Times New Roman" w:eastAsia="Times New Roman" w:cs="Times New Roman"/>
                <w:b w:val="0"/>
                <w:color w:val="383A39"/>
                <w:sz w:val="17"/>
              </w:rPr>
              <w:t>________</w:t>
            </w:r>
          </w:p>
        </w:tc>
        <w:tc>
          <w:tcPr>
            <w:tcW w:type="dxa" w:w="879"/>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tcPr>
          <w:p>
            <w:pPr>
              <w:keepLines/>
              <w:spacing w:after="80" w:line="240" w:lineRule="exact" w:before="0"/>
            </w:pPr>
            <w:r>
              <w:rPr>
                <w:rFonts w:ascii="Times New Roman" w:hAnsi="Times New Roman" w:eastAsia="Times New Roman" w:cs="Times New Roman"/>
                <w:b w:val="0"/>
                <w:color w:val="383A39"/>
                <w:sz w:val="17"/>
              </w:rPr>
              <w:t>___</w:t>
            </w:r>
          </w:p>
        </w:tc>
        <w:tc>
          <w:tcPr>
            <w:tcW w:type="dxa" w:w="2409"/>
            <w:vAlign w:val="center"/>
            <w:tcMar>
              <w:top w:w="80" w:type="dxa"/>
              <w:bottom w:w="80" w:type="dxa"/>
              <w:left w:w="80" w:type="dxa"/>
              <w:right w:w="80" w:type="dxa"/>
            </w:tcMar>
            <w:tcBorders>
              <w:top w:val="single" w:sz="4" w:color="BFBFBF"/>
              <w:left w:val="single" w:sz="4" w:color="BFBFBF"/>
              <w:bottom w:val="single" w:sz="4" w:color="BFBFBF"/>
              <w:right w:val="single" w:sz="4" w:color="BFBFBF"/>
            </w:tcBorders>
          </w:tcPr>
          <w:p>
            <w:pPr>
              <w:keepLines/>
              <w:spacing w:after="80" w:line="240" w:lineRule="exact" w:before="0"/>
            </w:pPr>
            <w:r>
              <w:rPr>
                <w:rFonts w:ascii="Times New Roman" w:hAnsi="Times New Roman" w:eastAsia="Times New Roman" w:cs="Times New Roman"/>
                <w:b w:val="0"/>
                <w:color w:val="383A39"/>
                <w:sz w:val="17"/>
              </w:rPr>
              <w:t>________</w:t>
            </w:r>
          </w:p>
        </w:tc>
      </w:tr>
    </w:tbl>
    <w:p>
      <w:pPr>
        <w:keepNext w:val="0"/>
        <w:keepLines/>
        <w:widowControl/>
        <w:spacing w:after="80" w:line="20" w:lineRule="exact" w:before="0"/>
        <w:ind w:left="0" w:right="0" w:firstLine="0"/>
        <w:jc w:val="both"/>
      </w:pPr>
      <w:r>
        <w:rPr>
          <w:rFonts w:ascii="Times New Roman" w:hAnsi="Times New Roman" w:eastAsia="Times New Roman" w:cs="Times New Roman"/>
          <w:color w:val="000000"/>
          <w:sz w:val="18"/>
        </w:rPr>
      </w:r>
    </w:p>
    <w:p>
      <w:pPr>
        <w:keepNext w:val="0"/>
        <w:keepLines/>
        <w:widowControl/>
        <w:spacing w:after="60" w:line="263" w:lineRule="exact" w:before="0"/>
        <w:ind w:left="0" w:right="0" w:firstLine="0"/>
        <w:jc w:val="both"/>
      </w:pPr>
      <w:r>
        <w:rPr>
          <w:rFonts w:ascii="Times New Roman" w:hAnsi="Times New Roman" w:eastAsia="Times New Roman" w:cs="Times New Roman"/>
          <w:color w:val="383A39"/>
          <w:sz w:val="18"/>
        </w:rPr>
        <w:t>Расшифровка состава поступлений, исключений и возвратов прилагается отдельным реестром по разделам 4 и 6 Договора.</w:t>
      </w:r>
    </w:p>
    <w:p>
      <w:pPr>
        <w:pStyle w:val="Heading1"/>
        <w:keepNext/>
        <w:keepLines/>
        <w:widowControl/>
        <w:spacing w:before="40" w:after="130" w:line="330" w:lineRule="exact"/>
        <w:ind w:left="0" w:right="0" w:firstLine="0"/>
        <w:jc w:val="left"/>
      </w:pPr>
      <w:r>
        <w:rPr>
          <w:rFonts w:ascii="Times New Roman" w:hAnsi="Times New Roman" w:eastAsia="Times New Roman" w:cs="Times New Roman"/>
          <w:b/>
          <w:i w:val="0"/>
          <w:color w:val="000000"/>
          <w:sz w:val="25"/>
        </w:rPr>
        <w:t>Итог расчета</w:t>
      </w:r>
    </w:p>
    <w:p>
      <w:pPr>
        <w:keepNext w:val="0"/>
        <w:keepLines/>
        <w:widowControl/>
        <w:spacing w:after="60" w:line="263" w:lineRule="exact" w:before="0"/>
        <w:ind w:left="0" w:right="0" w:firstLine="0"/>
        <w:jc w:val="both"/>
      </w:pPr>
      <w:r>
        <w:rPr>
          <w:rFonts w:ascii="Times New Roman" w:hAnsi="Times New Roman" w:eastAsia="Times New Roman" w:cs="Times New Roman"/>
          <w:color w:val="383A39"/>
          <w:sz w:val="18"/>
        </w:rPr>
        <w:t>Единовременное вознаграждение за период: _____________________________ руб.</w:t>
      </w:r>
    </w:p>
    <w:p>
      <w:pPr>
        <w:keepNext w:val="0"/>
        <w:keepLines/>
        <w:widowControl/>
        <w:spacing w:after="60" w:line="263" w:lineRule="exact" w:before="0"/>
        <w:ind w:left="0" w:right="0" w:firstLine="0"/>
        <w:jc w:val="both"/>
      </w:pPr>
      <w:r>
        <w:rPr>
          <w:rFonts w:ascii="Times New Roman" w:hAnsi="Times New Roman" w:eastAsia="Times New Roman" w:cs="Times New Roman"/>
          <w:color w:val="383A39"/>
          <w:sz w:val="18"/>
        </w:rPr>
        <w:t>Ежемесячное вознаграждение за период: ________________________________ руб.</w:t>
      </w:r>
    </w:p>
    <w:p>
      <w:pPr>
        <w:keepNext w:val="0"/>
        <w:keepLines/>
        <w:widowControl/>
        <w:spacing w:after="60" w:line="263" w:lineRule="exact" w:before="0"/>
        <w:ind w:left="0" w:right="0" w:firstLine="0"/>
        <w:jc w:val="both"/>
      </w:pPr>
      <w:r>
        <w:rPr>
          <w:rFonts w:ascii="Times New Roman" w:hAnsi="Times New Roman" w:eastAsia="Times New Roman" w:cs="Times New Roman"/>
          <w:color w:val="383A39"/>
          <w:sz w:val="18"/>
        </w:rPr>
        <w:t>Подтвержденные корректировки прошлых периодов: ______________________ руб.</w:t>
      </w:r>
    </w:p>
    <w:p>
      <w:pPr>
        <w:keepNext w:val="0"/>
        <w:keepLines/>
        <w:widowControl/>
        <w:spacing w:after="60" w:line="263" w:lineRule="exact" w:before="0"/>
        <w:ind w:left="0" w:right="0" w:firstLine="0"/>
        <w:jc w:val="both"/>
      </w:pPr>
      <w:r>
        <w:rPr>
          <w:rFonts w:ascii="Times New Roman" w:hAnsi="Times New Roman" w:eastAsia="Times New Roman" w:cs="Times New Roman"/>
          <w:color w:val="383A39"/>
          <w:sz w:val="18"/>
        </w:rPr>
        <w:t>Уже перечислено в счет указанных обязательств: _________________________ руб.</w:t>
      </w:r>
    </w:p>
    <w:p>
      <w:pPr>
        <w:keepNext w:val="0"/>
        <w:keepLines/>
        <w:widowControl/>
        <w:spacing w:after="60" w:line="263" w:lineRule="exact" w:before="0"/>
        <w:ind w:left="0" w:right="0" w:firstLine="0"/>
        <w:jc w:val="both"/>
      </w:pPr>
      <w:r>
        <w:rPr>
          <w:rFonts w:ascii="Times New Roman" w:hAnsi="Times New Roman" w:eastAsia="Times New Roman" w:cs="Times New Roman"/>
          <w:color w:val="383A39"/>
          <w:sz w:val="18"/>
        </w:rPr>
        <w:t>Остаток к оплате / переплата: _________________________________________ руб.</w:t>
      </w:r>
    </w:p>
    <w:p>
      <w:pPr>
        <w:keepNext w:val="0"/>
        <w:keepLines/>
        <w:widowControl/>
        <w:spacing w:after="60" w:line="263" w:lineRule="exact" w:before="0"/>
        <w:ind w:left="0" w:right="0" w:firstLine="0"/>
        <w:jc w:val="both"/>
      </w:pPr>
      <w:r>
        <w:rPr>
          <w:rFonts w:ascii="Times New Roman" w:hAnsi="Times New Roman" w:eastAsia="Times New Roman" w:cs="Times New Roman"/>
          <w:color w:val="383A39"/>
          <w:sz w:val="18"/>
        </w:rPr>
        <w:t>НДС: __________________________________________________________________.</w:t>
      </w:r>
    </w:p>
    <w:p>
      <w:pPr>
        <w:keepNext w:val="0"/>
        <w:keepLines/>
        <w:widowControl/>
        <w:spacing w:after="60" w:line="263" w:lineRule="exact" w:before="0"/>
        <w:ind w:left="0" w:right="0" w:firstLine="0"/>
        <w:jc w:val="both"/>
      </w:pPr>
      <w:r>
        <w:rPr>
          <w:rFonts w:ascii="Times New Roman" w:hAnsi="Times New Roman" w:eastAsia="Times New Roman" w:cs="Times New Roman"/>
          <w:color w:val="383A39"/>
          <w:sz w:val="18"/>
        </w:rPr>
        <w:t>Срок мотивированных возражений — 5 рабочих дней; далее отчет считается принятым по пункту 6.4. Сроки оплаты не переносятся.</w:t>
      </w:r>
    </w:p>
    <w:tbl>
      <w:tblPr>
        <w:tblW w:type="auto" w:w="0"/>
        <w:tblLayout w:type="fixed"/>
        <w:tblLook w:firstColumn="1" w:firstRow="1" w:lastColumn="0" w:lastRow="0" w:noHBand="0" w:noVBand="1" w:val="04A0"/>
        <w:jc w:val="center"/>
        <w:tblBorders>
          <w:top w:val="nil"/>
          <w:left w:val="nil"/>
          <w:bottom w:val="nil"/>
          <w:right w:val="nil"/>
          <w:insideH w:val="nil"/>
          <w:insideV w:val="nil"/>
        </w:tblBorders>
      </w:tblPr>
      <w:tblGrid>
        <w:gridCol w:w="5173"/>
        <w:gridCol w:w="5173"/>
      </w:tblGrid>
      <w:tr>
        <w:trPr>
          <w:cantSplit/>
        </w:trPr>
        <w:tc>
          <w:tcPr>
            <w:tcW w:type="dxa" w:w="5173"/>
            <w:vAlign w:val="center"/>
          </w:tcPr>
          <w:p>
            <w:pPr>
              <w:keepLines/>
              <w:spacing w:after="80" w:line="240" w:lineRule="exact" w:before="0"/>
              <w:jc w:val="left"/>
            </w:pPr>
            <w:r>
              <w:rPr>
                <w:rFonts w:ascii="Times New Roman" w:hAnsi="Times New Roman" w:eastAsia="Times New Roman" w:cs="Times New Roman"/>
                <w:b/>
                <w:color w:val="383A39"/>
                <w:sz w:val="18"/>
              </w:rPr>
              <w:t>Агент</w:t>
            </w:r>
          </w:p>
          <w:p>
            <w:pPr>
              <w:keepLines/>
              <w:spacing w:line="240" w:lineRule="exact" w:before="0" w:after="80"/>
              <w:jc w:val="left"/>
            </w:pPr>
            <w:r>
              <w:rPr>
                <w:rFonts w:ascii="Times New Roman" w:hAnsi="Times New Roman" w:eastAsia="Times New Roman" w:cs="Times New Roman"/>
                <w:color w:val="383A39"/>
                <w:sz w:val="18"/>
              </w:rPr>
              <w:t>ИП Короглуев Филипп Алексеевич</w:t>
              <w:br/>
              <w:t>________________ / Ф. А. Короглуев /</w:t>
              <w:br/>
              <w:t>М. П. (при наличии)</w:t>
            </w:r>
          </w:p>
        </w:tc>
        <w:tc>
          <w:tcPr>
            <w:tcW w:type="dxa" w:w="5173"/>
            <w:vAlign w:val="center"/>
          </w:tcPr>
          <w:p>
            <w:pPr>
              <w:keepLines/>
              <w:spacing w:after="80" w:line="240" w:lineRule="exact" w:before="0"/>
              <w:jc w:val="right"/>
            </w:pPr>
            <w:r>
              <w:rPr>
                <w:rFonts w:ascii="Times New Roman" w:hAnsi="Times New Roman" w:eastAsia="Times New Roman" w:cs="Times New Roman"/>
                <w:b/>
                <w:color w:val="383A39"/>
                <w:sz w:val="18"/>
              </w:rPr>
              <w:t>Принципал</w:t>
            </w:r>
          </w:p>
          <w:p>
            <w:pPr>
              <w:keepLines/>
              <w:spacing w:line="240" w:lineRule="exact" w:before="0" w:after="80"/>
              <w:jc w:val="right"/>
            </w:pPr>
            <w:r>
              <w:rPr>
                <w:rFonts w:ascii="Times New Roman" w:hAnsi="Times New Roman" w:eastAsia="Times New Roman" w:cs="Times New Roman"/>
                <w:color w:val="383A39"/>
                <w:sz w:val="18"/>
              </w:rPr>
              <w:t>[наименование Ломбарда]</w:t>
              <w:br/>
              <w:t>________________ / ______________ /</w:t>
              <w:br/>
              <w:t>М. П. (при наличии)</w:t>
            </w:r>
          </w:p>
        </w:tc>
      </w:tr>
    </w:tbl>
    <w:sectPr w:rsidR="00FC693F" w:rsidRPr="0006063C" w:rsidSect="00034616">
      <w:headerReference w:type="default" r:id="rIdApprovedHeader"/>
      <w:footerReference w:type="default" r:id="rIdApprovedFooter"/>
      <w:pgSz w:w="12240" w:h="15840"/>
      <w:pgMar w:top="2320" w:right="954" w:bottom="1160" w:left="942" w:header="60" w:footer="4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84CD5" w14:textId="77777777" w:rsidR="00844EE2" w:rsidRDefault="00000000">
    <w:pPr>
      <w:tabs>
        <w:tab w:val="center" w:pos="5172"/>
        <w:tab w:val="right" w:pos="10224"/>
      </w:tabs>
      <w:spacing w:after="0" w:line="240" w:lineRule="exact"/>
    </w:pPr>
    <w:r>
      <w:rPr>
        <w:noProof/>
      </w:rPr>
      <w:drawing>
        <wp:anchor distT="0" distB="0" distL="0" distR="0" simplePos="0" relativeHeight="251659264" behindDoc="1" locked="0" layoutInCell="1" allowOverlap="1" wp14:anchorId="4D1011B1" wp14:editId="7C838E8F">
          <wp:simplePos x="0" y="0"/>
          <wp:positionH relativeFrom="page">
            <wp:posOffset>598424</wp:posOffset>
          </wp:positionH>
          <wp:positionV relativeFrom="page">
            <wp:posOffset>9552689</wp:posOffset>
          </wp:positionV>
          <wp:extent cx="6568426" cy="348765"/>
          <wp:effectExtent l="0" t="0" r="0" b="0"/>
          <wp:wrapNone/>
          <wp:docPr id="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568426" cy="348765"/>
                  </a:xfrm>
                  <a:prstGeom prst="rect">
                    <a:avLst/>
                  </a:prstGeom>
                </pic:spPr>
              </pic:pic>
            </a:graphicData>
          </a:graphic>
        </wp:anchor>
      </w:drawing>
    </w:r>
    <w:r>
      <w:rPr>
        <w:rFonts w:eastAsia="Times New Roman" w:cs="Times New Roman" w:ascii="Times New Roman" w:hAnsi="Times New Roman"/>
        <w:sz w:val="11"/>
        <w:position w:val="3"/>
      </w:rPr>
      <w:t xml:space="preserve">  подпись</w:t>
    </w:r>
    <w:r>
      <w:tab/>
    </w:r>
    <w:r>
      <w:rPr>
        <w:rFonts w:eastAsia="Times New Roman" w:cs="Times New Roman"/>
        <w:b/>
        <w:sz w:val="19"/>
      </w:rPr>
      <w:fldChar w:fldCharType="begin"/>
    </w:r>
    <w:r>
      <w:rPr>
        <w:rFonts w:eastAsia="Times New Roman" w:cs="Times New Roman" w:ascii="Times New Roman" w:hAnsi="Times New Roman"/>
        <w:b/>
        <w:sz w:val="19"/>
      </w:rPr>
      <w:instrText xml:space="preserve"> PAGE \* ROMAN </w:instrText>
    </w:r>
    <w:r>
      <w:rPr>
        <w:rFonts w:eastAsia="Times New Roman" w:cs="Times New Roman"/>
        <w:b/>
        <w:sz w:val="19"/>
      </w:rPr>
      <w:fldChar w:fldCharType="separate"/>
    </w:r>
    <w:r>
      <w:rPr>
        <w:rFonts w:eastAsia="Times New Roman" w:cs="Times New Roman" w:ascii="Times New Roman" w:hAnsi="Times New Roman"/>
        <w:b/>
        <w:sz w:val="19"/>
      </w:rPr>
      <w:t>I</w:t>
    </w:r>
    <w:r>
      <w:rPr>
        <w:rFonts w:eastAsia="Times New Roman" w:cs="Times New Roman"/>
        <w:b/>
        <w:sz w:val="19"/>
      </w:rPr>
      <w:fldChar w:fldCharType="end"/>
    </w:r>
    <w:r>
      <w:tab/>
    </w:r>
    <w:r>
      <w:rPr>
        <w:rFonts w:eastAsia="Times New Roman" w:cs="Times New Roman" w:ascii="Times New Roman" w:hAnsi="Times New Roman"/>
        <w:sz w:val="11"/>
        <w:position w:val="3"/>
      </w:rPr>
      <w:t>подпись</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9E6C7" w14:textId="77777777" w:rsidR="00844EE2" w:rsidRDefault="00000000">
    <w:pPr>
      <w:spacing w:after="0" w:line="20" w:lineRule="exact"/>
    </w:pPr>
    <w:r>
      <w:rPr>
        <w:noProof/>
      </w:rPr>
      <w:drawing>
        <wp:anchor distT="0" distB="0" distL="0" distR="0" simplePos="0" relativeHeight="251658240" behindDoc="1" locked="0" layoutInCell="1" allowOverlap="1" wp14:anchorId="0213F45C" wp14:editId="52922E89">
          <wp:simplePos x="0" y="0"/>
          <wp:positionH relativeFrom="page">
            <wp:posOffset>0</wp:posOffset>
          </wp:positionH>
          <wp:positionV relativeFrom="page">
            <wp:posOffset>0</wp:posOffset>
          </wp:positionV>
          <wp:extent cx="7772400" cy="1325309"/>
          <wp:effectExtent l="0" t="0" r="0" b="0"/>
          <wp:wrapNone/>
          <wp:docPr id="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1"/>
                  <a:stretch>
                    <a:fillRect/>
                  </a:stretch>
                </pic:blipFill>
                <pic:spPr>
                  <a:xfrm>
                    <a:off x="0" y="0"/>
                    <a:ext cx="7772400" cy="1325309"/>
                  </a:xfrm>
                  <a:prstGeom prst="rect">
                    <a:avLst/>
                  </a:prstGeom>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isplayBackgroundShape w:val="true"/>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3" w:lineRule="exact" w:after="220"/>
    </w:pPr>
    <w:rPr>
      <w:rFonts w:ascii="Times New Roman" w:hAnsi="Times New Roman"/>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Times New Roman" w:hAnsi="Times New Roman"/>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imes New Roman" w:hAnsi="Times New Roman"/>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imes New Roman" w:hAnsi="Times New Roman"/>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color w:val="000000"/>
    </w:r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140" w:line="240" w:lineRule="auto"/>
      <w:contextualSpacing/>
    </w:pPr>
    <w:rPr>
      <w:rFonts w:ascii="Georgia" w:hAnsi="Georgia"/>
      <w:b/>
      <w:color w:val="000000"/>
      <w:spacing w:val="5"/>
      <w:kern w:val="28"/>
      <w:sz w:val="40"/>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pPr>
    <w:rPr>
      <w:rFonts w:ascii="Times New Roman" w:hAnsi="Times New Roman"/>
      <w:i/>
      <w:iCs/>
      <w:color w:val="000000"/>
      <w:spacing w:val="15"/>
      <w:sz w:val="23"/>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Times New Roman" w:hAnsi="Times New Roman"/>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Times New Roman" w:hAnsi="Times New Roman"/>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Times New Roman" w:hAnsi="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color w:val="000000"/>
    </w:rPr>
  </w:style>
  <w:style w:type="paragraph" w:styleId="ListBullet">
    <w:name w:val="List Bullet"/>
    <w:basedOn w:val="Normal"/>
    <w:uiPriority w:val="99"/>
    <w:unhideWhenUsed/>
    <w:rsid w:val="00326F90"/>
    <w:pPr>
      <w:numPr>
        <w:numId w:val="1"/>
      </w:numPr>
      <w:contextualSpacing/>
    </w:pPr>
    <w:rPr>
      <w:rFonts w:ascii="Times New Roman" w:hAnsi="Times New Roman"/>
      <w:color w:val="000000"/>
    </w:rPr>
  </w:style>
  <w:style w:type="paragraph" w:styleId="ListBullet2">
    <w:name w:val="List Bullet 2"/>
    <w:basedOn w:val="Normal"/>
    <w:uiPriority w:val="99"/>
    <w:unhideWhenUsed/>
    <w:rsid w:val="00326F90"/>
    <w:pPr>
      <w:numPr>
        <w:numId w:val="2"/>
      </w:numPr>
      <w:contextualSpacing/>
    </w:pPr>
    <w:rPr>
      <w:rFonts w:ascii="Times New Roman" w:hAnsi="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Times New Roman" w:hAnsi="Times New Roman"/>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ApprovedHeader" Type="http://schemas.openxmlformats.org/officeDocument/2006/relationships/header" Target="header1.xml"/><Relationship Id="rIdApprovedFooter"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Агентский договор AMITUT — Ломбард</dc:title>
  <dc:subject>Привлечение заемщиков, размещение и подписка</dc:subject>
  <dc:creator>ИП Малеев Денис Михайлович</dc:creator>
  <cp:keywords>AMITUT; агентский договор; ломбарды</cp:keywords>
  <dc:description>generated by python-docx</dc:description>
  <cp:lastModifiedBy/>
  <cp:revision>1</cp:revision>
  <dcterms:created xsi:type="dcterms:W3CDTF">2013-12-23T23:15:00Z</dcterms:created>
  <dcterms:modified xsi:type="dcterms:W3CDTF">2013-12-23T23:15:00Z</dcterms:modified>
  <cp:category/>
</cp:coreProperties>
</file>